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A0" w:firstRow="1" w:lastRow="0" w:firstColumn="1" w:lastColumn="0" w:noHBand="0" w:noVBand="0"/>
      </w:tblPr>
      <w:tblGrid>
        <w:gridCol w:w="2160"/>
        <w:gridCol w:w="2419"/>
        <w:gridCol w:w="2377"/>
        <w:gridCol w:w="2800"/>
        <w:gridCol w:w="98"/>
      </w:tblGrid>
      <w:tr w:rsidR="003864E0" w:rsidRPr="00D84881" w:rsidTr="001A4651">
        <w:tc>
          <w:tcPr>
            <w:tcW w:w="2160" w:type="dxa"/>
            <w:vMerge w:val="restart"/>
            <w:vAlign w:val="center"/>
          </w:tcPr>
          <w:p w:rsidR="003864E0" w:rsidRPr="002236F4" w:rsidRDefault="003864E0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7694" w:type="dxa"/>
            <w:gridSpan w:val="4"/>
          </w:tcPr>
          <w:p w:rsidR="003864E0" w:rsidRPr="00D84881" w:rsidRDefault="003864E0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</w:pPr>
            <w:proofErr w:type="spellStart"/>
            <w:r w:rsidRPr="00D84881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ConHaz</w:t>
            </w:r>
            <w:proofErr w:type="spellEnd"/>
            <w:r w:rsidRPr="00D84881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 xml:space="preserve"> Project (Coordination Action project funded by the EU 7th Framework Programme. Contract no 244159)</w:t>
            </w:r>
            <w:r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 xml:space="preserve"> Guidance Documents</w:t>
            </w:r>
          </w:p>
        </w:tc>
      </w:tr>
      <w:tr w:rsidR="003864E0" w:rsidRPr="00953DC7" w:rsidTr="001A4651">
        <w:tc>
          <w:tcPr>
            <w:tcW w:w="2160" w:type="dxa"/>
            <w:vMerge/>
          </w:tcPr>
          <w:p w:rsidR="003864E0" w:rsidRPr="002236F4" w:rsidRDefault="003864E0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694" w:type="dxa"/>
            <w:gridSpan w:val="4"/>
          </w:tcPr>
          <w:p w:rsidR="003864E0" w:rsidRPr="001A4651" w:rsidRDefault="003864E0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Cost of Natural Hazards - 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ConHaz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Project</w:t>
            </w:r>
          </w:p>
        </w:tc>
      </w:tr>
      <w:tr w:rsidR="003864E0" w:rsidRPr="00953DC7" w:rsidTr="001A4651">
        <w:tc>
          <w:tcPr>
            <w:tcW w:w="2160" w:type="dxa"/>
            <w:vMerge/>
          </w:tcPr>
          <w:p w:rsidR="003864E0" w:rsidRPr="002236F4" w:rsidRDefault="003864E0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694" w:type="dxa"/>
            <w:gridSpan w:val="4"/>
          </w:tcPr>
          <w:p w:rsidR="004048D3" w:rsidRPr="004048D3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Bouwer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L. M.,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Poussin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J.,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Papyrakis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E., Daniel, V. E.,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Pfurtscheller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C.,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Thieken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A. H., &amp;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Aerts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J. C. J. H. (2011). Methodology report on costs of mitigation - CONHAZ Report (pp. 1–69).</w:t>
            </w:r>
          </w:p>
          <w:p w:rsidR="004048D3" w:rsidRPr="004048D3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Bubeck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P., &amp;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Kreibich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H. (2011). Natural Hazards</w:t>
            </w:r>
            <w:r w:rsidRPr="004048D3">
              <w:rPr>
                <w:rStyle w:val="Heading1Char"/>
                <w:rFonts w:ascii="Times New Roman" w:hAnsi="Times New Roman"/>
                <w:b w:val="0"/>
                <w:color w:val="auto"/>
                <w:sz w:val="24"/>
                <w:szCs w:val="24"/>
                <w:lang w:val="en-GB"/>
              </w:rPr>
              <w:t> </w:t>
            </w:r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: direct costs and losses due to the disruption of production processes - CONHAZ Report (pp. 1</w:t>
            </w:r>
            <w:r w:rsidRPr="004048D3">
              <w:rPr>
                <w:rStyle w:val="Heading1Char"/>
                <w:rFonts w:ascii="Palatino Linotype" w:hAnsi="Palatino Linotype" w:cs="Palatino Linotype"/>
                <w:b w:val="0"/>
                <w:color w:val="auto"/>
                <w:sz w:val="24"/>
                <w:szCs w:val="24"/>
                <w:lang w:val="en-GB"/>
              </w:rPr>
              <w:t>–</w:t>
            </w:r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68).</w:t>
            </w:r>
          </w:p>
          <w:p w:rsidR="004048D3" w:rsidRPr="004048D3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Green, C.,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Viavattene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C., &amp; Thompson, P. (2011). Guidance for assessing flood losses - CONHAZ Report (pp. 1–86).</w:t>
            </w:r>
          </w:p>
          <w:p w:rsidR="004048D3" w:rsidRPr="004048D3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Lequeux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Q., &amp;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Ciavola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P. (2011). Methods for Estimating the Costs of Coastal Hazards - CONHAZ Report (pp. 1–67).</w:t>
            </w:r>
          </w:p>
          <w:p w:rsidR="004048D3" w:rsidRPr="004048D3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Logar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I., &amp; van den Bergh, J. (2011). Methods of Assessment of the Costs of Droughts - CONHAZ Report. Retrieved from http://conhaz.org/CONHAZ REPORT WP05_1_FINAL.pdf</w:t>
            </w:r>
          </w:p>
          <w:p w:rsidR="004048D3" w:rsidRPr="004048D3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Markantonis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V., Meyer, V., &amp;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Schwarze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R. (2011). The intangible effects of Natural Hazards - CONHAZ Report.</w:t>
            </w:r>
          </w:p>
          <w:p w:rsidR="004048D3" w:rsidRPr="004048D3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Pfurtscheller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C.,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Lochner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B., &amp;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Thieken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A. (2011). CONHAZ Report on Costs of Alpine Hazards Costs of Alpine Hazards (pp. 1–96).</w:t>
            </w:r>
          </w:p>
          <w:p w:rsidR="003864E0" w:rsidRPr="001A4651" w:rsidRDefault="004048D3" w:rsidP="004048D3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Przyluski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, V., &amp; </w:t>
            </w:r>
            <w:proofErr w:type="spellStart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Hallegatte</w:t>
            </w:r>
            <w:proofErr w:type="spellEnd"/>
            <w:r w:rsidRPr="004048D3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, S. (2011). Indirect Costs of Natural Hazards - CONHAZ Report (pp. 1–41).</w:t>
            </w:r>
          </w:p>
        </w:tc>
      </w:tr>
      <w:tr w:rsidR="003864E0" w:rsidRPr="00D84881" w:rsidTr="001A4651">
        <w:tc>
          <w:tcPr>
            <w:tcW w:w="2160" w:type="dxa"/>
          </w:tcPr>
          <w:p w:rsidR="003864E0" w:rsidRPr="002236F4" w:rsidRDefault="003864E0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Scope</w:t>
            </w:r>
          </w:p>
        </w:tc>
        <w:tc>
          <w:tcPr>
            <w:tcW w:w="7694" w:type="dxa"/>
            <w:gridSpan w:val="4"/>
          </w:tcPr>
          <w:p w:rsidR="003864E0" w:rsidRDefault="003864E0" w:rsidP="00223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proofErr w:type="spellStart"/>
            <w:r w:rsidRPr="00D84881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ConHaz</w:t>
            </w:r>
            <w:proofErr w:type="spellEnd"/>
            <w:r w:rsidRPr="00D84881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synthesises current cost assessment methods and strengthens the role of cost assessments in the development of integrated natural hazard management and adaptation planning.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</w:t>
            </w:r>
          </w:p>
          <w:p w:rsidR="003864E0" w:rsidRPr="0024302C" w:rsidRDefault="003864E0" w:rsidP="0024302C">
            <w:pPr>
              <w:autoSpaceDE w:val="0"/>
              <w:autoSpaceDN w:val="0"/>
              <w:adjustRightInd w:val="0"/>
              <w:spacing w:after="0" w:line="240" w:lineRule="auto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24302C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The first objective of </w:t>
            </w:r>
            <w:proofErr w:type="spellStart"/>
            <w:r w:rsidRPr="0024302C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ConHaz</w:t>
            </w:r>
            <w:proofErr w:type="spellEnd"/>
            <w:r w:rsidRPr="0024302C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is to compile state-of-the-art methods and terminology as used in European case studies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. </w:t>
            </w:r>
            <w:r w:rsidRPr="0024302C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The second objective of </w:t>
            </w:r>
            <w:proofErr w:type="spellStart"/>
            <w:r w:rsidRPr="0024302C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ConHaz</w:t>
            </w:r>
            <w:proofErr w:type="spellEnd"/>
            <w:r w:rsidRPr="0024302C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is to evaluate the compiled methods by addressing theoretical issues such as principal assumptions of cost assessment methods, as well as practical issues, such as availability and quality of data.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 xml:space="preserve"> He third is to synthesise all the results. </w:t>
            </w:r>
          </w:p>
        </w:tc>
      </w:tr>
      <w:tr w:rsidR="003864E0" w:rsidRPr="0024302C" w:rsidTr="001A465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</w:trPr>
        <w:tc>
          <w:tcPr>
            <w:tcW w:w="2160" w:type="dxa"/>
            <w:vMerge w:val="restart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  <w:vAlign w:val="center"/>
          </w:tcPr>
          <w:p w:rsidR="003864E0" w:rsidRPr="002236F4" w:rsidRDefault="003864E0" w:rsidP="002236F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Cs w:val="0"/>
                <w:i/>
                <w:color w:val="auto"/>
                <w:sz w:val="22"/>
                <w:szCs w:val="22"/>
                <w:lang w:val="en-GB"/>
              </w:rPr>
              <w:t>Impacts</w:t>
            </w:r>
          </w:p>
        </w:tc>
        <w:tc>
          <w:tcPr>
            <w:tcW w:w="2419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Environmental</w:t>
            </w:r>
          </w:p>
        </w:tc>
        <w:tc>
          <w:tcPr>
            <w:tcW w:w="2377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Social</w:t>
            </w:r>
          </w:p>
        </w:tc>
        <w:tc>
          <w:tcPr>
            <w:tcW w:w="2800" w:type="dxa"/>
            <w:tcBorders>
              <w:top w:val="single" w:sz="8" w:space="0" w:color="4F81BD"/>
              <w:left w:val="nil"/>
              <w:bottom w:val="single" w:sz="8" w:space="0" w:color="4F81BD"/>
              <w:right w:val="nil"/>
            </w:tcBorders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  <w:t>Economic</w:t>
            </w:r>
          </w:p>
        </w:tc>
      </w:tr>
      <w:tr w:rsidR="003864E0" w:rsidRPr="0024302C" w:rsidTr="001A465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</w:trPr>
        <w:tc>
          <w:tcPr>
            <w:tcW w:w="2160" w:type="dxa"/>
            <w:vMerge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377" w:type="dxa"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800" w:type="dxa"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</w:tr>
      <w:tr w:rsidR="003864E0" w:rsidRPr="00953DC7" w:rsidTr="001A465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1847"/>
        </w:trPr>
        <w:tc>
          <w:tcPr>
            <w:tcW w:w="2160" w:type="dxa"/>
            <w:vMerge/>
          </w:tcPr>
          <w:p w:rsidR="003864E0" w:rsidRPr="002236F4" w:rsidRDefault="003864E0" w:rsidP="002236F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419" w:type="dxa"/>
          </w:tcPr>
          <w:p w:rsidR="003864E0" w:rsidRPr="002236F4" w:rsidRDefault="003864E0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Qualitative assessment of the direct and indirect natural hazard’s impact on the environment.</w:t>
            </w:r>
          </w:p>
        </w:tc>
        <w:tc>
          <w:tcPr>
            <w:tcW w:w="2377" w:type="dxa"/>
          </w:tcPr>
          <w:p w:rsidR="003864E0" w:rsidRPr="002236F4" w:rsidRDefault="003864E0" w:rsidP="002538EA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Qualitative assessment of the direct and indirect natural hazard’s impact on the populations.</w:t>
            </w:r>
          </w:p>
        </w:tc>
        <w:tc>
          <w:tcPr>
            <w:tcW w:w="2800" w:type="dxa"/>
          </w:tcPr>
          <w:p w:rsidR="003864E0" w:rsidRDefault="003864E0" w:rsidP="00223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Direct economic impacts assessed in three steps: classification of elements at risk; exposure analysis and assets value assessment; susceptibility analysis by relating relative damage.</w:t>
            </w:r>
          </w:p>
          <w:p w:rsidR="003864E0" w:rsidRPr="002C2852" w:rsidRDefault="003864E0" w:rsidP="002236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Indirect economic impacts assessed through different methodologies: </w:t>
            </w:r>
            <w:r w:rsidRPr="002C2852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from asset losses to output losses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; consumption losses; change in prices; productivity effect; long term consequences; poverty trap.</w:t>
            </w:r>
          </w:p>
        </w:tc>
      </w:tr>
      <w:tr w:rsidR="003864E0" w:rsidRPr="002236F4" w:rsidTr="001A465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</w:trPr>
        <w:tc>
          <w:tcPr>
            <w:tcW w:w="2160" w:type="dxa"/>
            <w:vMerge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419" w:type="dxa"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377" w:type="dxa"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800" w:type="dxa"/>
            <w:tcBorders>
              <w:left w:val="nil"/>
              <w:right w:val="nil"/>
            </w:tcBorders>
            <w:shd w:val="clear" w:color="auto" w:fill="D3DFEE"/>
          </w:tcPr>
          <w:p w:rsidR="003864E0" w:rsidRPr="002236F4" w:rsidRDefault="003864E0" w:rsidP="002236F4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Direct 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–</w:t>
            </w:r>
            <w:r w:rsidRPr="002236F4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Indirect</w:t>
            </w:r>
          </w:p>
        </w:tc>
      </w:tr>
      <w:tr w:rsidR="00953DC7" w:rsidRPr="002236F4" w:rsidTr="001A4651">
        <w:tblPrEx>
          <w:tblBorders>
            <w:top w:val="single" w:sz="8" w:space="0" w:color="4F81BD"/>
            <w:left w:val="none" w:sz="0" w:space="0" w:color="auto"/>
            <w:bottom w:val="single" w:sz="8" w:space="0" w:color="4F81BD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</w:trPr>
        <w:tc>
          <w:tcPr>
            <w:tcW w:w="2160" w:type="dxa"/>
            <w:vMerge/>
            <w:tcBorders>
              <w:bottom w:val="single" w:sz="8" w:space="0" w:color="4F81BD"/>
            </w:tcBorders>
          </w:tcPr>
          <w:p w:rsidR="00953DC7" w:rsidRPr="002236F4" w:rsidRDefault="00953DC7" w:rsidP="002236F4">
            <w:pPr>
              <w:spacing w:before="80" w:after="80"/>
              <w:rPr>
                <w:rStyle w:val="Heading1Char"/>
                <w:rFonts w:ascii="Palatino Linotype" w:hAnsi="Palatino Linotype"/>
                <w:b w:val="0"/>
                <w:bCs w:val="0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419" w:type="dxa"/>
            <w:tcBorders>
              <w:bottom w:val="single" w:sz="8" w:space="0" w:color="4F81BD"/>
            </w:tcBorders>
          </w:tcPr>
          <w:p w:rsidR="00953DC7" w:rsidRPr="002236F4" w:rsidRDefault="00953DC7" w:rsidP="000D6353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 - Intangible</w:t>
            </w:r>
          </w:p>
        </w:tc>
        <w:tc>
          <w:tcPr>
            <w:tcW w:w="2377" w:type="dxa"/>
            <w:tcBorders>
              <w:bottom w:val="single" w:sz="8" w:space="0" w:color="4F81BD"/>
            </w:tcBorders>
          </w:tcPr>
          <w:p w:rsidR="00953DC7" w:rsidRPr="002236F4" w:rsidRDefault="00953DC7" w:rsidP="000D6353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Tangible 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–</w:t>
            </w: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 xml:space="preserve"> Intangible</w:t>
            </w:r>
          </w:p>
        </w:tc>
        <w:tc>
          <w:tcPr>
            <w:tcW w:w="2800" w:type="dxa"/>
            <w:tcBorders>
              <w:bottom w:val="single" w:sz="8" w:space="0" w:color="4F81BD"/>
            </w:tcBorders>
          </w:tcPr>
          <w:p w:rsidR="00953DC7" w:rsidRPr="002236F4" w:rsidRDefault="00953DC7" w:rsidP="000D6353">
            <w:pPr>
              <w:spacing w:before="80" w:after="80"/>
              <w:jc w:val="center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Tangible - Intangible</w:t>
            </w:r>
            <w:bookmarkStart w:id="0" w:name="_GoBack"/>
            <w:bookmarkEnd w:id="0"/>
          </w:p>
        </w:tc>
      </w:tr>
      <w:tr w:rsidR="00953DC7" w:rsidRPr="00953DC7" w:rsidTr="001A4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626"/>
        </w:trPr>
        <w:tc>
          <w:tcPr>
            <w:tcW w:w="2160" w:type="dxa"/>
          </w:tcPr>
          <w:p w:rsidR="00953DC7" w:rsidRPr="002236F4" w:rsidRDefault="00953DC7" w:rsidP="002236F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Case Studies </w:t>
            </w:r>
          </w:p>
        </w:tc>
        <w:tc>
          <w:tcPr>
            <w:tcW w:w="7596" w:type="dxa"/>
            <w:gridSpan w:val="3"/>
          </w:tcPr>
          <w:p w:rsidR="00953DC7" w:rsidRPr="002236F4" w:rsidRDefault="00953DC7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Several case studies, from </w:t>
            </w:r>
            <w:smartTag w:uri="urn:schemas-microsoft-com:office:smarttags" w:element="place">
              <w:r>
                <w:rPr>
                  <w:rStyle w:val="Heading1Char"/>
                  <w:rFonts w:ascii="Palatino Linotype" w:hAnsi="Palatino Linotype"/>
                  <w:b w:val="0"/>
                  <w:color w:val="auto"/>
                  <w:sz w:val="22"/>
                  <w:szCs w:val="22"/>
                  <w:lang w:val="en-GB"/>
                </w:rPr>
                <w:t>Europe</w:t>
              </w:r>
            </w:smartTag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and from the rest of the world, are reported in the different guidance documents as example of the application of the methods and tools </w:t>
            </w:r>
          </w:p>
        </w:tc>
      </w:tr>
      <w:tr w:rsidR="00953DC7" w:rsidRPr="00953DC7" w:rsidTr="001A4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647"/>
        </w:trPr>
        <w:tc>
          <w:tcPr>
            <w:tcW w:w="2160" w:type="dxa"/>
          </w:tcPr>
          <w:p w:rsidR="00953DC7" w:rsidRPr="002236F4" w:rsidRDefault="00953DC7" w:rsidP="002236F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Uncertainty</w:t>
            </w:r>
          </w:p>
        </w:tc>
        <w:tc>
          <w:tcPr>
            <w:tcW w:w="7596" w:type="dxa"/>
            <w:gridSpan w:val="3"/>
          </w:tcPr>
          <w:p w:rsidR="00953DC7" w:rsidRPr="002236F4" w:rsidRDefault="00953DC7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Extensive analysis of the uncertainty issues in all the different aspects of the hazards and the impacts taken into consideration.</w:t>
            </w:r>
          </w:p>
        </w:tc>
      </w:tr>
      <w:tr w:rsidR="00953DC7" w:rsidRPr="00953DC7" w:rsidTr="001A4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688"/>
        </w:trPr>
        <w:tc>
          <w:tcPr>
            <w:tcW w:w="2160" w:type="dxa"/>
          </w:tcPr>
          <w:p w:rsidR="00953DC7" w:rsidRPr="002236F4" w:rsidRDefault="00953DC7" w:rsidP="002236F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Climate Change </w:t>
            </w:r>
          </w:p>
        </w:tc>
        <w:tc>
          <w:tcPr>
            <w:tcW w:w="7596" w:type="dxa"/>
            <w:gridSpan w:val="3"/>
          </w:tcPr>
          <w:p w:rsidR="00953DC7" w:rsidRPr="002236F4" w:rsidRDefault="00953DC7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No. The guidance is not specifically aimed at the assessment of climate change patterns.</w:t>
            </w:r>
          </w:p>
        </w:tc>
      </w:tr>
      <w:tr w:rsidR="00953DC7" w:rsidRPr="00953DC7" w:rsidTr="001A4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689"/>
        </w:trPr>
        <w:tc>
          <w:tcPr>
            <w:tcW w:w="2160" w:type="dxa"/>
          </w:tcPr>
          <w:p w:rsidR="00953DC7" w:rsidRPr="002236F4" w:rsidRDefault="00953DC7" w:rsidP="002236F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Flood</w:t>
            </w:r>
          </w:p>
        </w:tc>
        <w:tc>
          <w:tcPr>
            <w:tcW w:w="7596" w:type="dxa"/>
            <w:gridSpan w:val="3"/>
          </w:tcPr>
          <w:p w:rsidR="00953DC7" w:rsidRPr="002236F4" w:rsidRDefault="00953DC7" w:rsidP="002236F4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WP6 is specifically devoted to flood events.</w:t>
            </w:r>
          </w:p>
        </w:tc>
      </w:tr>
      <w:tr w:rsidR="00953DC7" w:rsidRPr="00953DC7" w:rsidTr="001A4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302"/>
        </w:trPr>
        <w:tc>
          <w:tcPr>
            <w:tcW w:w="2160" w:type="dxa"/>
          </w:tcPr>
          <w:p w:rsidR="00953DC7" w:rsidRPr="002236F4" w:rsidRDefault="00953DC7" w:rsidP="002236F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Data need</w:t>
            </w:r>
          </w:p>
        </w:tc>
        <w:tc>
          <w:tcPr>
            <w:tcW w:w="7596" w:type="dxa"/>
            <w:gridSpan w:val="3"/>
          </w:tcPr>
          <w:p w:rsidR="00953DC7" w:rsidRPr="002236F4" w:rsidRDefault="00953DC7" w:rsidP="002236F4">
            <w:pPr>
              <w:spacing w:before="80" w:after="80" w:line="240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Data quantity and quality for each step of the assessment is analysed.</w:t>
            </w:r>
          </w:p>
        </w:tc>
      </w:tr>
      <w:tr w:rsidR="00953DC7" w:rsidRPr="00953DC7" w:rsidTr="001A46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98" w:type="dxa"/>
          <w:trHeight w:val="721"/>
        </w:trPr>
        <w:tc>
          <w:tcPr>
            <w:tcW w:w="2160" w:type="dxa"/>
          </w:tcPr>
          <w:p w:rsidR="00953DC7" w:rsidRPr="002236F4" w:rsidRDefault="00953DC7" w:rsidP="002236F4">
            <w:pPr>
              <w:spacing w:before="80" w:after="8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2236F4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Comments</w:t>
            </w:r>
          </w:p>
        </w:tc>
        <w:tc>
          <w:tcPr>
            <w:tcW w:w="7596" w:type="dxa"/>
            <w:gridSpan w:val="3"/>
          </w:tcPr>
          <w:p w:rsidR="00953DC7" w:rsidRDefault="00953DC7" w:rsidP="003577E8">
            <w:p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Structure of the project:</w:t>
            </w:r>
          </w:p>
          <w:p w:rsidR="00953DC7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WP1 Direct costs &amp; production processes</w:t>
            </w:r>
          </w:p>
          <w:p w:rsidR="00953DC7" w:rsidRPr="001A4651" w:rsidRDefault="00953DC7" w:rsidP="003577E8">
            <w:pPr>
              <w:numPr>
                <w:ilvl w:val="1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Natural Hazards : direct costs and losses due to the disruption of production processes (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Bubeck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&amp; 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Kreibich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, 2011)</w:t>
            </w:r>
          </w:p>
          <w:p w:rsidR="00953DC7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WP2 Indirect costs</w:t>
            </w:r>
          </w:p>
          <w:p w:rsidR="00953DC7" w:rsidRPr="001A4651" w:rsidRDefault="00953DC7" w:rsidP="003F1C7F">
            <w:pPr>
              <w:numPr>
                <w:ilvl w:val="1"/>
                <w:numId w:val="2"/>
              </w:num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Indirect Costs of Natural Hazards </w:t>
            </w:r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(</w:t>
            </w:r>
            <w:proofErr w:type="spellStart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Przyluski</w:t>
            </w:r>
            <w:proofErr w:type="spellEnd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&amp; </w:t>
            </w:r>
            <w:proofErr w:type="spellStart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Hallegatte</w:t>
            </w:r>
            <w:proofErr w:type="spellEnd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, 2011)</w:t>
            </w:r>
          </w:p>
          <w:p w:rsidR="00953DC7" w:rsidRPr="001A4651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WP3 Intangible effects</w:t>
            </w:r>
          </w:p>
          <w:p w:rsidR="00953DC7" w:rsidRPr="001A4651" w:rsidRDefault="00953DC7" w:rsidP="003F1C7F">
            <w:pPr>
              <w:numPr>
                <w:ilvl w:val="1"/>
                <w:numId w:val="2"/>
              </w:num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 intangi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ble effects of Natural Hazards </w:t>
            </w:r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(</w:t>
            </w:r>
            <w:proofErr w:type="spellStart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Markantonis</w:t>
            </w:r>
            <w:proofErr w:type="spellEnd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, Meyer, &amp; </w:t>
            </w:r>
            <w:proofErr w:type="spellStart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Schwarze</w:t>
            </w:r>
            <w:proofErr w:type="spellEnd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, 2011)</w:t>
            </w:r>
          </w:p>
          <w:p w:rsidR="00953DC7" w:rsidRPr="001A4651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WP4 Adaptation &amp; mitigation incl. climate change</w:t>
            </w:r>
          </w:p>
          <w:p w:rsidR="00953DC7" w:rsidRPr="001A4651" w:rsidRDefault="00953DC7" w:rsidP="003577E8">
            <w:pPr>
              <w:numPr>
                <w:ilvl w:val="1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Methodology report 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on costs of mitigation (</w:t>
            </w:r>
            <w:proofErr w:type="spellStart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Bouwer</w:t>
            </w:r>
            <w:proofErr w:type="spellEnd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et al.</w:t>
            </w: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, </w:t>
            </w: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lastRenderedPageBreak/>
              <w:t>2011)</w:t>
            </w:r>
          </w:p>
          <w:p w:rsidR="00953DC7" w:rsidRPr="001A4651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WP5 Costs of droughts</w:t>
            </w:r>
          </w:p>
          <w:p w:rsidR="00953DC7" w:rsidRPr="001A4651" w:rsidRDefault="00953DC7" w:rsidP="003577E8">
            <w:pPr>
              <w:numPr>
                <w:ilvl w:val="1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Methods of Assessment of the Costs of Droughts (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Logar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&amp; Van den Bergh, 2011)</w:t>
            </w:r>
          </w:p>
          <w:p w:rsidR="00953DC7" w:rsidRPr="001A4651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WP6 Costs of floods</w:t>
            </w:r>
          </w:p>
          <w:p w:rsidR="00953DC7" w:rsidRDefault="00953DC7" w:rsidP="003577E8">
            <w:pPr>
              <w:numPr>
                <w:ilvl w:val="1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Guidance for assessing flood losse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s (Green et al.,</w:t>
            </w: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2011)</w:t>
            </w:r>
          </w:p>
          <w:p w:rsidR="00953DC7" w:rsidRPr="001A4651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WP7 Costs of storms &amp; coastal risks</w:t>
            </w:r>
          </w:p>
          <w:p w:rsidR="00953DC7" w:rsidRPr="001A4651" w:rsidRDefault="00953DC7" w:rsidP="003F1C7F">
            <w:pPr>
              <w:numPr>
                <w:ilvl w:val="1"/>
                <w:numId w:val="2"/>
              </w:numPr>
              <w:spacing w:before="80" w:after="8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Methods for Estimating the Costs of Coastal Hazards (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Lequeux</w:t>
            </w:r>
            <w:proofErr w:type="spellEnd"/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&amp; </w:t>
            </w:r>
            <w:proofErr w:type="spellStart"/>
            <w:r w:rsidRPr="003F1C7F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Ciavola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, 201</w:t>
            </w: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1</w:t>
            </w: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)</w:t>
            </w:r>
          </w:p>
          <w:p w:rsidR="00953DC7" w:rsidRPr="001A4651" w:rsidRDefault="00953DC7" w:rsidP="003577E8">
            <w:pPr>
              <w:numPr>
                <w:ilvl w:val="0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WP8 Costs of Alpine hazards</w:t>
            </w:r>
          </w:p>
          <w:p w:rsidR="00953DC7" w:rsidRPr="001A4651" w:rsidRDefault="00953DC7" w:rsidP="003577E8">
            <w:pPr>
              <w:numPr>
                <w:ilvl w:val="1"/>
                <w:numId w:val="2"/>
              </w:numPr>
              <w:spacing w:before="80" w:after="80"/>
              <w:ind w:left="0" w:firstLine="0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Costs of Alpine Hazards Costs of Alpine Hazards (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Pfurtscheller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, 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Lochner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, &amp; </w:t>
            </w:r>
            <w:proofErr w:type="spellStart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Thieken</w:t>
            </w:r>
            <w:proofErr w:type="spellEnd"/>
            <w:r w:rsidRPr="001A4651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, 2011)</w:t>
            </w:r>
          </w:p>
        </w:tc>
      </w:tr>
    </w:tbl>
    <w:p w:rsidR="003864E0" w:rsidRPr="00AE5697" w:rsidRDefault="003864E0" w:rsidP="00C6686B">
      <w:pPr>
        <w:rPr>
          <w:rStyle w:val="Heading2Char"/>
          <w:color w:val="auto"/>
          <w:sz w:val="22"/>
          <w:szCs w:val="22"/>
          <w:lang w:val="en-GB"/>
        </w:rPr>
      </w:pPr>
    </w:p>
    <w:sectPr w:rsidR="003864E0" w:rsidRPr="00AE5697" w:rsidSect="00F43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56B89"/>
    <w:multiLevelType w:val="hybridMultilevel"/>
    <w:tmpl w:val="528073D2"/>
    <w:lvl w:ilvl="0" w:tplc="8904E8F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66D068D"/>
    <w:multiLevelType w:val="hybridMultilevel"/>
    <w:tmpl w:val="960E445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oNotTrackMoves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872"/>
    <w:rsid w:val="000110FB"/>
    <w:rsid w:val="0003398C"/>
    <w:rsid w:val="000602E5"/>
    <w:rsid w:val="000D0DE0"/>
    <w:rsid w:val="001A4651"/>
    <w:rsid w:val="001F1FC6"/>
    <w:rsid w:val="002236F4"/>
    <w:rsid w:val="0024302C"/>
    <w:rsid w:val="002538EA"/>
    <w:rsid w:val="002B2F9E"/>
    <w:rsid w:val="002B3DA2"/>
    <w:rsid w:val="002C2852"/>
    <w:rsid w:val="002E01DD"/>
    <w:rsid w:val="003577E8"/>
    <w:rsid w:val="003864E0"/>
    <w:rsid w:val="003F1C7F"/>
    <w:rsid w:val="004048D3"/>
    <w:rsid w:val="00475825"/>
    <w:rsid w:val="00476459"/>
    <w:rsid w:val="004D5D13"/>
    <w:rsid w:val="005C72AF"/>
    <w:rsid w:val="005E2677"/>
    <w:rsid w:val="006265A9"/>
    <w:rsid w:val="00771CDF"/>
    <w:rsid w:val="007B373A"/>
    <w:rsid w:val="007C3FEC"/>
    <w:rsid w:val="00862872"/>
    <w:rsid w:val="008748BE"/>
    <w:rsid w:val="00953DC7"/>
    <w:rsid w:val="00A06865"/>
    <w:rsid w:val="00A47827"/>
    <w:rsid w:val="00A7359D"/>
    <w:rsid w:val="00AB670E"/>
    <w:rsid w:val="00AD09BD"/>
    <w:rsid w:val="00AE5697"/>
    <w:rsid w:val="00B925E9"/>
    <w:rsid w:val="00C34433"/>
    <w:rsid w:val="00C6686B"/>
    <w:rsid w:val="00D84881"/>
    <w:rsid w:val="00DA53F8"/>
    <w:rsid w:val="00E302BE"/>
    <w:rsid w:val="00E934AB"/>
    <w:rsid w:val="00F430B9"/>
    <w:rsid w:val="00F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F9E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62872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862872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9"/>
    <w:locked/>
    <w:rsid w:val="00862872"/>
    <w:rPr>
      <w:rFonts w:ascii="Cambria" w:hAnsi="Cambria" w:cs="Times New Roman"/>
      <w:b/>
      <w:bCs/>
      <w:color w:val="4F81BD"/>
      <w:sz w:val="26"/>
      <w:szCs w:val="26"/>
    </w:rPr>
  </w:style>
  <w:style w:type="table" w:styleId="TableGrid">
    <w:name w:val="Table Grid"/>
    <w:basedOn w:val="TableNormal"/>
    <w:uiPriority w:val="99"/>
    <w:rsid w:val="0047582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99"/>
    <w:rsid w:val="00475825"/>
    <w:rPr>
      <w:color w:val="365F91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CommentReference">
    <w:name w:val="annotation reference"/>
    <w:uiPriority w:val="99"/>
    <w:semiHidden/>
    <w:rsid w:val="00AD09B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AD09BD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D09B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D09BD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rsid w:val="00AB670E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605</Words>
  <Characters>3455</Characters>
  <Application>Microsoft Office Word</Application>
  <DocSecurity>0</DocSecurity>
  <Lines>28</Lines>
  <Paragraphs>8</Paragraphs>
  <ScaleCrop>false</ScaleCrop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Reference</dc:title>
  <dc:subject/>
  <dc:creator>Fabio Farinosi</dc:creator>
  <cp:keywords/>
  <dc:description/>
  <cp:lastModifiedBy>Fabio Farinosi</cp:lastModifiedBy>
  <cp:revision>10</cp:revision>
  <dcterms:created xsi:type="dcterms:W3CDTF">2013-06-26T14:15:00Z</dcterms:created>
  <dcterms:modified xsi:type="dcterms:W3CDTF">2013-07-25T13:09:00Z</dcterms:modified>
</cp:coreProperties>
</file>