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7512"/>
      </w:tblGrid>
      <w:tr w:rsidR="00AD09BD" w:rsidRPr="003B757D" w:rsidTr="00AD09BD">
        <w:tc>
          <w:tcPr>
            <w:tcW w:w="2235" w:type="dxa"/>
            <w:vMerge w:val="restart"/>
            <w:vAlign w:val="center"/>
          </w:tcPr>
          <w:p w:rsidR="00AD09BD" w:rsidRPr="00AD09BD" w:rsidRDefault="00AD09BD" w:rsidP="00AD09BD">
            <w:pPr>
              <w:spacing w:before="80" w:after="80" w:line="276" w:lineRule="auto"/>
              <w:rPr>
                <w:rStyle w:val="Heading1Char"/>
                <w:rFonts w:ascii="Palatino Linotype" w:hAnsi="Palatino Linotype"/>
                <w:i/>
                <w:color w:val="auto"/>
                <w:sz w:val="24"/>
                <w:szCs w:val="24"/>
                <w:lang w:val="en-GB"/>
              </w:rPr>
            </w:pPr>
            <w:r w:rsidRPr="00AD09BD">
              <w:rPr>
                <w:rStyle w:val="Heading1Char"/>
                <w:rFonts w:ascii="Palatino Linotype" w:hAnsi="Palatino Linotype"/>
                <w:i/>
                <w:color w:val="auto"/>
                <w:sz w:val="24"/>
                <w:szCs w:val="24"/>
                <w:lang w:val="en-GB"/>
              </w:rPr>
              <w:t>Reference</w:t>
            </w:r>
          </w:p>
        </w:tc>
        <w:tc>
          <w:tcPr>
            <w:tcW w:w="7512" w:type="dxa"/>
          </w:tcPr>
          <w:p w:rsidR="00AD09BD" w:rsidRPr="00AD09BD" w:rsidRDefault="00AD09BD" w:rsidP="00F430B9">
            <w:pPr>
              <w:spacing w:before="80" w:after="80" w:line="276" w:lineRule="auto"/>
              <w:rPr>
                <w:rStyle w:val="Heading1Char"/>
                <w:rFonts w:ascii="Palatino Linotype" w:hAnsi="Palatino Linotype"/>
                <w:color w:val="auto"/>
                <w:sz w:val="24"/>
                <w:szCs w:val="24"/>
                <w:lang w:val="en-GB"/>
              </w:rPr>
            </w:pPr>
            <w:r w:rsidRPr="00AD09BD">
              <w:rPr>
                <w:rStyle w:val="Heading1Char"/>
                <w:rFonts w:ascii="Palatino Linotype" w:hAnsi="Palatino Linotype"/>
                <w:color w:val="auto"/>
                <w:sz w:val="24"/>
                <w:szCs w:val="24"/>
                <w:lang w:val="en-GB"/>
              </w:rPr>
              <w:t>Technical guidelines for assessing climate change impact and adaptation</w:t>
            </w:r>
          </w:p>
        </w:tc>
      </w:tr>
      <w:tr w:rsidR="00AD09BD" w:rsidRPr="003B757D" w:rsidTr="00F430B9">
        <w:tc>
          <w:tcPr>
            <w:tcW w:w="2235" w:type="dxa"/>
            <w:vMerge/>
          </w:tcPr>
          <w:p w:rsidR="00AD09BD" w:rsidRPr="00AD09BD" w:rsidRDefault="00AD09BD" w:rsidP="00F430B9">
            <w:pPr>
              <w:spacing w:before="80" w:after="80" w:line="276" w:lineRule="auto"/>
              <w:rPr>
                <w:rStyle w:val="Heading1Char"/>
                <w:rFonts w:ascii="Palatino Linotype" w:hAnsi="Palatino Linotype"/>
                <w:i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7512" w:type="dxa"/>
          </w:tcPr>
          <w:p w:rsidR="00AD09BD" w:rsidRPr="00AD09BD" w:rsidRDefault="00AD09BD" w:rsidP="00F430B9">
            <w:pPr>
              <w:spacing w:before="80" w:after="80" w:line="276" w:lineRule="auto"/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</w:pPr>
            <w:r w:rsidRPr="00AD09BD"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>Intergovernmental Panel on Climate Change - IPCC</w:t>
            </w:r>
          </w:p>
        </w:tc>
      </w:tr>
      <w:tr w:rsidR="00AD09BD" w:rsidRPr="003B757D" w:rsidTr="00F430B9">
        <w:tc>
          <w:tcPr>
            <w:tcW w:w="2235" w:type="dxa"/>
            <w:vMerge/>
          </w:tcPr>
          <w:p w:rsidR="00AD09BD" w:rsidRPr="00AD09BD" w:rsidRDefault="00AD09BD" w:rsidP="00F430B9">
            <w:pPr>
              <w:spacing w:before="80" w:after="80" w:line="276" w:lineRule="auto"/>
              <w:rPr>
                <w:rStyle w:val="Heading1Char"/>
                <w:rFonts w:ascii="Palatino Linotype" w:hAnsi="Palatino Linotype"/>
                <w:i/>
                <w:color w:val="auto"/>
                <w:sz w:val="24"/>
                <w:szCs w:val="24"/>
                <w:lang w:val="en-GB"/>
              </w:rPr>
            </w:pPr>
          </w:p>
        </w:tc>
        <w:tc>
          <w:tcPr>
            <w:tcW w:w="7512" w:type="dxa"/>
          </w:tcPr>
          <w:p w:rsidR="00AD09BD" w:rsidRPr="00AD09BD" w:rsidRDefault="00AD09BD" w:rsidP="00F430B9">
            <w:pPr>
              <w:spacing w:before="80" w:after="80" w:line="276" w:lineRule="auto"/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</w:pPr>
            <w:r w:rsidRPr="00AD09BD"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>IPCC (1994), IPCC technical guidelines for assessing climate change impact and adaptation</w:t>
            </w:r>
          </w:p>
        </w:tc>
      </w:tr>
      <w:tr w:rsidR="00F430B9" w:rsidRPr="003B757D" w:rsidTr="00F430B9">
        <w:tc>
          <w:tcPr>
            <w:tcW w:w="2235" w:type="dxa"/>
          </w:tcPr>
          <w:p w:rsidR="00F430B9" w:rsidRPr="00AD09BD" w:rsidRDefault="00F430B9" w:rsidP="00F430B9">
            <w:pPr>
              <w:spacing w:before="80" w:after="80" w:line="276" w:lineRule="auto"/>
              <w:rPr>
                <w:rStyle w:val="Heading1Char"/>
                <w:rFonts w:ascii="Palatino Linotype" w:hAnsi="Palatino Linotype"/>
                <w:i/>
                <w:color w:val="auto"/>
                <w:sz w:val="24"/>
                <w:szCs w:val="24"/>
                <w:lang w:val="en-GB"/>
              </w:rPr>
            </w:pPr>
            <w:r w:rsidRPr="00AD09BD">
              <w:rPr>
                <w:rStyle w:val="Heading1Char"/>
                <w:rFonts w:ascii="Palatino Linotype" w:hAnsi="Palatino Linotype"/>
                <w:i/>
                <w:color w:val="auto"/>
                <w:sz w:val="24"/>
                <w:szCs w:val="24"/>
                <w:lang w:val="en-GB"/>
              </w:rPr>
              <w:t>Scope</w:t>
            </w:r>
          </w:p>
        </w:tc>
        <w:tc>
          <w:tcPr>
            <w:tcW w:w="7512" w:type="dxa"/>
          </w:tcPr>
          <w:p w:rsidR="00F430B9" w:rsidRPr="00AD09BD" w:rsidRDefault="00F430B9" w:rsidP="00F430B9">
            <w:pPr>
              <w:spacing w:before="80" w:after="80" w:line="276" w:lineRule="auto"/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</w:pPr>
            <w:r w:rsidRPr="00AD09BD">
              <w:rPr>
                <w:rStyle w:val="Heading1Char"/>
                <w:rFonts w:ascii="Palatino Linotype" w:hAnsi="Palatino Linotype"/>
                <w:b w:val="0"/>
                <w:color w:val="auto"/>
                <w:sz w:val="24"/>
                <w:szCs w:val="24"/>
                <w:lang w:val="en-GB"/>
              </w:rPr>
              <w:t>To provide a means for assessing the impacts of potential climate change and of evaluating appropriate adaptation</w:t>
            </w:r>
          </w:p>
        </w:tc>
      </w:tr>
    </w:tbl>
    <w:tbl>
      <w:tblPr>
        <w:tblStyle w:val="LightShading-Accent1"/>
        <w:tblW w:w="9747" w:type="dxa"/>
        <w:tblLook w:val="04A0" w:firstRow="1" w:lastRow="0" w:firstColumn="1" w:lastColumn="0" w:noHBand="0" w:noVBand="1"/>
      </w:tblPr>
      <w:tblGrid>
        <w:gridCol w:w="2235"/>
        <w:gridCol w:w="2504"/>
        <w:gridCol w:w="2504"/>
        <w:gridCol w:w="2504"/>
      </w:tblGrid>
      <w:tr w:rsidR="00F430B9" w:rsidRPr="00AE5697" w:rsidTr="00AD09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vMerge w:val="restart"/>
            <w:vAlign w:val="center"/>
          </w:tcPr>
          <w:p w:rsidR="00F430B9" w:rsidRPr="00AE5697" w:rsidRDefault="00F430B9" w:rsidP="00AD09BD">
            <w:pPr>
              <w:spacing w:before="80" w:after="80" w:line="276" w:lineRule="auto"/>
              <w:rPr>
                <w:rStyle w:val="Heading1Char"/>
                <w:rFonts w:ascii="Palatino Linotype" w:hAnsi="Palatino Linotype"/>
                <w:b/>
                <w:i/>
                <w:color w:val="auto"/>
                <w:sz w:val="22"/>
                <w:szCs w:val="22"/>
                <w:lang w:val="en-GB"/>
              </w:rPr>
            </w:pPr>
            <w:r w:rsidRPr="00AE5697">
              <w:rPr>
                <w:rStyle w:val="Heading1Char"/>
                <w:rFonts w:ascii="Palatino Linotype" w:hAnsi="Palatino Linotype"/>
                <w:b/>
                <w:i/>
                <w:color w:val="auto"/>
                <w:sz w:val="22"/>
                <w:szCs w:val="22"/>
                <w:lang w:val="en-GB"/>
              </w:rPr>
              <w:t>Impacts</w:t>
            </w:r>
          </w:p>
        </w:tc>
        <w:tc>
          <w:tcPr>
            <w:tcW w:w="2504" w:type="dxa"/>
          </w:tcPr>
          <w:p w:rsidR="00F430B9" w:rsidRPr="00AE5697" w:rsidRDefault="00F430B9" w:rsidP="00AD09BD">
            <w:pPr>
              <w:spacing w:before="80" w:after="8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</w:pPr>
            <w:r w:rsidRPr="00AE5697"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  <w:t>Environmental</w:t>
            </w:r>
          </w:p>
        </w:tc>
        <w:tc>
          <w:tcPr>
            <w:tcW w:w="2504" w:type="dxa"/>
          </w:tcPr>
          <w:p w:rsidR="00F430B9" w:rsidRPr="00AE5697" w:rsidRDefault="00F430B9" w:rsidP="00AD09BD">
            <w:pPr>
              <w:spacing w:before="80" w:after="8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</w:pPr>
            <w:r w:rsidRPr="00AE5697"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  <w:t>Social</w:t>
            </w:r>
          </w:p>
        </w:tc>
        <w:tc>
          <w:tcPr>
            <w:tcW w:w="2504" w:type="dxa"/>
          </w:tcPr>
          <w:p w:rsidR="00F430B9" w:rsidRPr="00AE5697" w:rsidRDefault="00F430B9" w:rsidP="00AD09BD">
            <w:pPr>
              <w:spacing w:before="80" w:after="8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</w:pPr>
            <w:r w:rsidRPr="00AE5697"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  <w:t>Economic</w:t>
            </w:r>
          </w:p>
        </w:tc>
      </w:tr>
      <w:tr w:rsidR="00F430B9" w:rsidRPr="00AE5697" w:rsidTr="00F430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vMerge/>
          </w:tcPr>
          <w:p w:rsidR="00F430B9" w:rsidRPr="00AE5697" w:rsidRDefault="00F430B9" w:rsidP="00F430B9">
            <w:pPr>
              <w:spacing w:before="80" w:after="80" w:line="276" w:lineRule="auto"/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2504" w:type="dxa"/>
          </w:tcPr>
          <w:p w:rsidR="00F430B9" w:rsidRPr="00AE5697" w:rsidRDefault="00F430B9" w:rsidP="00F430B9">
            <w:pPr>
              <w:spacing w:before="80" w:after="8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Heading1Char"/>
                <w:rFonts w:ascii="Palatino Linotype" w:hAnsi="Palatino Linotype"/>
                <w:i/>
                <w:color w:val="auto"/>
                <w:sz w:val="20"/>
                <w:szCs w:val="20"/>
                <w:lang w:val="en-GB"/>
              </w:rPr>
            </w:pPr>
            <w:r w:rsidRPr="00AE5697">
              <w:rPr>
                <w:rStyle w:val="Heading1Char"/>
                <w:rFonts w:ascii="Palatino Linotype" w:hAnsi="Palatino Linotype"/>
                <w:i/>
                <w:color w:val="auto"/>
                <w:sz w:val="20"/>
                <w:szCs w:val="20"/>
                <w:lang w:val="en-GB"/>
              </w:rPr>
              <w:sym w:font="Wingdings" w:char="F0FC"/>
            </w:r>
          </w:p>
        </w:tc>
        <w:tc>
          <w:tcPr>
            <w:tcW w:w="2504" w:type="dxa"/>
          </w:tcPr>
          <w:p w:rsidR="00F430B9" w:rsidRPr="00AE5697" w:rsidRDefault="00F430B9" w:rsidP="00F430B9">
            <w:pPr>
              <w:spacing w:before="80" w:after="8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Heading1Char"/>
                <w:rFonts w:ascii="Palatino Linotype" w:hAnsi="Palatino Linotype"/>
                <w:i/>
                <w:color w:val="auto"/>
                <w:sz w:val="20"/>
                <w:szCs w:val="20"/>
                <w:lang w:val="en-GB"/>
              </w:rPr>
            </w:pPr>
            <w:r w:rsidRPr="00AE5697">
              <w:rPr>
                <w:rStyle w:val="Heading1Char"/>
                <w:rFonts w:ascii="Palatino Linotype" w:hAnsi="Palatino Linotype"/>
                <w:i/>
                <w:color w:val="auto"/>
                <w:sz w:val="20"/>
                <w:szCs w:val="20"/>
                <w:lang w:val="en-GB"/>
              </w:rPr>
              <w:sym w:font="Wingdings" w:char="F0FC"/>
            </w:r>
          </w:p>
        </w:tc>
        <w:tc>
          <w:tcPr>
            <w:tcW w:w="2504" w:type="dxa"/>
          </w:tcPr>
          <w:p w:rsidR="00F430B9" w:rsidRPr="00AE5697" w:rsidRDefault="00F430B9" w:rsidP="00F430B9">
            <w:pPr>
              <w:spacing w:before="80" w:after="8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Heading1Char"/>
                <w:rFonts w:ascii="Palatino Linotype" w:hAnsi="Palatino Linotype"/>
                <w:i/>
                <w:color w:val="auto"/>
                <w:sz w:val="20"/>
                <w:szCs w:val="20"/>
                <w:lang w:val="en-GB"/>
              </w:rPr>
            </w:pPr>
            <w:r w:rsidRPr="00AE5697">
              <w:rPr>
                <w:rStyle w:val="Heading1Char"/>
                <w:rFonts w:ascii="Palatino Linotype" w:hAnsi="Palatino Linotype"/>
                <w:i/>
                <w:color w:val="auto"/>
                <w:sz w:val="20"/>
                <w:szCs w:val="20"/>
                <w:lang w:val="en-GB"/>
              </w:rPr>
              <w:sym w:font="Wingdings" w:char="F0FC"/>
            </w:r>
          </w:p>
        </w:tc>
      </w:tr>
      <w:tr w:rsidR="00F430B9" w:rsidRPr="003B757D" w:rsidTr="00F430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vMerge/>
          </w:tcPr>
          <w:p w:rsidR="00F430B9" w:rsidRPr="00AE5697" w:rsidRDefault="00F430B9" w:rsidP="00F430B9">
            <w:pPr>
              <w:spacing w:before="80" w:after="80" w:line="276" w:lineRule="auto"/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2504" w:type="dxa"/>
          </w:tcPr>
          <w:p w:rsidR="00F430B9" w:rsidRPr="00AE5697" w:rsidRDefault="00F430B9" w:rsidP="000110FB">
            <w:pPr>
              <w:spacing w:before="80" w:after="80"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</w:pPr>
            <w:r w:rsidRPr="00AE5697"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  <w:t>Climatic Scenarios. Baseline.</w:t>
            </w:r>
            <w:r w:rsidR="000110FB" w:rsidRPr="00AE5697"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  <w:t xml:space="preserve"> Experimentation; biophysical models</w:t>
            </w:r>
            <w:r w:rsidR="000602E5" w:rsidRPr="00AE5697"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  <w:t xml:space="preserve">. </w:t>
            </w:r>
          </w:p>
        </w:tc>
        <w:tc>
          <w:tcPr>
            <w:tcW w:w="2504" w:type="dxa"/>
          </w:tcPr>
          <w:p w:rsidR="00F430B9" w:rsidRPr="00AE5697" w:rsidRDefault="00F430B9" w:rsidP="000602E5">
            <w:pPr>
              <w:spacing w:before="80" w:after="80"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</w:pPr>
            <w:r w:rsidRPr="00AE5697"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  <w:t>Socio-economic scenarios</w:t>
            </w:r>
            <w:r w:rsidR="000602E5" w:rsidRPr="00AE5697"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  <w:t xml:space="preserve">. Projections from: World Bank, UN, OECD, IMF.  </w:t>
            </w:r>
          </w:p>
        </w:tc>
        <w:tc>
          <w:tcPr>
            <w:tcW w:w="2504" w:type="dxa"/>
          </w:tcPr>
          <w:p w:rsidR="00F430B9" w:rsidRPr="00AE5697" w:rsidRDefault="000110FB" w:rsidP="000110FB">
            <w:pPr>
              <w:spacing w:before="80" w:after="80"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US"/>
              </w:rPr>
            </w:pPr>
            <w:r w:rsidRPr="00AE5697"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  <w:t xml:space="preserve">Experimentation and projections. </w:t>
            </w:r>
            <w:r w:rsidRPr="00AE5697"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US"/>
              </w:rPr>
              <w:t xml:space="preserve">Socio-economic models (Linear Programming; Quadratic Programming; </w:t>
            </w:r>
            <w:r w:rsidRPr="00AE5697"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  <w:t>General Equilibrium</w:t>
            </w:r>
            <w:r w:rsidR="000602E5" w:rsidRPr="00AE5697"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GB"/>
              </w:rPr>
              <w:t>; Input-Output</w:t>
            </w:r>
            <w:r w:rsidRPr="00AE5697"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US"/>
              </w:rPr>
              <w:t>)</w:t>
            </w:r>
            <w:r w:rsidR="000602E5" w:rsidRPr="00AE5697">
              <w:rPr>
                <w:rStyle w:val="Heading1Char"/>
                <w:rFonts w:ascii="Palatino Linotype" w:hAnsi="Palatino Linotype"/>
                <w:b w:val="0"/>
                <w:color w:val="auto"/>
                <w:sz w:val="20"/>
                <w:szCs w:val="20"/>
                <w:lang w:val="en-US"/>
              </w:rPr>
              <w:t xml:space="preserve"> applied at firm-level, sector-level, and economy-wide.</w:t>
            </w:r>
          </w:p>
        </w:tc>
      </w:tr>
      <w:tr w:rsidR="00F430B9" w:rsidRPr="00AE5697" w:rsidTr="00F430B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vMerge/>
          </w:tcPr>
          <w:p w:rsidR="00F430B9" w:rsidRPr="00AE5697" w:rsidRDefault="00F430B9" w:rsidP="00F430B9">
            <w:pPr>
              <w:spacing w:before="80" w:after="80" w:line="276" w:lineRule="auto"/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2504" w:type="dxa"/>
          </w:tcPr>
          <w:p w:rsidR="00F430B9" w:rsidRPr="00AE5697" w:rsidRDefault="00F430B9" w:rsidP="00AD09BD">
            <w:pPr>
              <w:spacing w:before="80" w:after="8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Heading1Char"/>
                <w:rFonts w:ascii="Palatino Linotype" w:hAnsi="Palatino Linotype"/>
                <w:b w:val="0"/>
                <w:i/>
                <w:color w:val="auto"/>
                <w:sz w:val="20"/>
                <w:szCs w:val="20"/>
                <w:lang w:val="en-GB"/>
              </w:rPr>
            </w:pPr>
            <w:r w:rsidRPr="00AE5697">
              <w:rPr>
                <w:rStyle w:val="Heading1Char"/>
                <w:rFonts w:ascii="Palatino Linotype" w:hAnsi="Palatino Linotype"/>
                <w:b w:val="0"/>
                <w:i/>
                <w:color w:val="auto"/>
                <w:sz w:val="20"/>
                <w:szCs w:val="20"/>
                <w:lang w:val="en-GB"/>
              </w:rPr>
              <w:t>Direct - Indirect</w:t>
            </w:r>
          </w:p>
        </w:tc>
        <w:tc>
          <w:tcPr>
            <w:tcW w:w="2504" w:type="dxa"/>
          </w:tcPr>
          <w:p w:rsidR="00F430B9" w:rsidRPr="00AE5697" w:rsidRDefault="00F430B9" w:rsidP="00AD09BD">
            <w:pPr>
              <w:spacing w:before="80" w:after="8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Heading1Char"/>
                <w:rFonts w:ascii="Palatino Linotype" w:hAnsi="Palatino Linotype"/>
                <w:b w:val="0"/>
                <w:i/>
                <w:color w:val="auto"/>
                <w:sz w:val="20"/>
                <w:szCs w:val="20"/>
                <w:lang w:val="en-GB"/>
              </w:rPr>
            </w:pPr>
            <w:r w:rsidRPr="00AE5697">
              <w:rPr>
                <w:rStyle w:val="Heading1Char"/>
                <w:rFonts w:ascii="Palatino Linotype" w:hAnsi="Palatino Linotype"/>
                <w:b w:val="0"/>
                <w:i/>
                <w:color w:val="auto"/>
                <w:sz w:val="20"/>
                <w:szCs w:val="20"/>
                <w:lang w:val="en-GB"/>
              </w:rPr>
              <w:t>Direct - Indirect</w:t>
            </w:r>
          </w:p>
        </w:tc>
        <w:tc>
          <w:tcPr>
            <w:tcW w:w="2504" w:type="dxa"/>
          </w:tcPr>
          <w:p w:rsidR="00F430B9" w:rsidRPr="00AE5697" w:rsidRDefault="00F430B9" w:rsidP="00AD09BD">
            <w:pPr>
              <w:spacing w:before="80" w:after="8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Style w:val="Heading1Char"/>
                <w:rFonts w:ascii="Palatino Linotype" w:hAnsi="Palatino Linotype"/>
                <w:b w:val="0"/>
                <w:i/>
                <w:color w:val="auto"/>
                <w:sz w:val="20"/>
                <w:szCs w:val="20"/>
                <w:lang w:val="en-GB"/>
              </w:rPr>
            </w:pPr>
            <w:r w:rsidRPr="00AE5697">
              <w:rPr>
                <w:rStyle w:val="Heading1Char"/>
                <w:rFonts w:ascii="Palatino Linotype" w:hAnsi="Palatino Linotype"/>
                <w:b w:val="0"/>
                <w:i/>
                <w:color w:val="auto"/>
                <w:sz w:val="20"/>
                <w:szCs w:val="20"/>
                <w:lang w:val="en-GB"/>
              </w:rPr>
              <w:t>Direct - Indirect</w:t>
            </w:r>
          </w:p>
        </w:tc>
      </w:tr>
      <w:tr w:rsidR="00F430B9" w:rsidRPr="003B757D" w:rsidTr="00F430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  <w:vMerge/>
          </w:tcPr>
          <w:p w:rsidR="00F430B9" w:rsidRPr="00AE5697" w:rsidRDefault="00F430B9" w:rsidP="00F430B9">
            <w:pPr>
              <w:spacing w:before="80" w:after="80" w:line="276" w:lineRule="auto"/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2504" w:type="dxa"/>
          </w:tcPr>
          <w:p w:rsidR="00F430B9" w:rsidRPr="00AE5697" w:rsidRDefault="00F430B9" w:rsidP="00F430B9">
            <w:pPr>
              <w:spacing w:before="80" w:after="8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2504" w:type="dxa"/>
          </w:tcPr>
          <w:p w:rsidR="00F430B9" w:rsidRPr="00AE5697" w:rsidRDefault="00F430B9" w:rsidP="00F430B9">
            <w:pPr>
              <w:spacing w:before="80" w:after="8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</w:pPr>
          </w:p>
        </w:tc>
        <w:tc>
          <w:tcPr>
            <w:tcW w:w="2504" w:type="dxa"/>
          </w:tcPr>
          <w:p w:rsidR="00F430B9" w:rsidRPr="003B757D" w:rsidRDefault="003B757D" w:rsidP="003B757D">
            <w:pPr>
              <w:spacing w:before="80" w:after="8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Heading1Char"/>
                <w:rFonts w:ascii="Palatino Linotype" w:eastAsia="Calibri" w:hAnsi="Palatino Linotype" w:cs="Times New Roman"/>
                <w:b w:val="0"/>
                <w:i/>
                <w:color w:val="auto"/>
                <w:sz w:val="20"/>
                <w:szCs w:val="20"/>
                <w:lang w:val="en-GB"/>
              </w:rPr>
            </w:pPr>
            <w:r w:rsidRPr="003B757D">
              <w:rPr>
                <w:rStyle w:val="Heading1Char"/>
                <w:rFonts w:ascii="Palatino Linotype" w:eastAsia="Calibri" w:hAnsi="Palatino Linotype" w:cs="Times New Roman"/>
                <w:b w:val="0"/>
                <w:i/>
                <w:color w:val="auto"/>
                <w:sz w:val="20"/>
                <w:szCs w:val="20"/>
                <w:lang w:val="en-GB"/>
              </w:rPr>
              <w:t xml:space="preserve">Tangible </w:t>
            </w:r>
            <w:r>
              <w:rPr>
                <w:rStyle w:val="Heading1Char"/>
                <w:rFonts w:ascii="Palatino Linotype" w:eastAsia="Calibri" w:hAnsi="Palatino Linotype" w:cs="Times New Roman"/>
                <w:b w:val="0"/>
                <w:i/>
                <w:color w:val="auto"/>
                <w:sz w:val="20"/>
                <w:szCs w:val="20"/>
                <w:lang w:val="en-GB"/>
              </w:rPr>
              <w:t>–</w:t>
            </w:r>
            <w:r w:rsidRPr="003B757D">
              <w:rPr>
                <w:rStyle w:val="Heading1Char"/>
                <w:rFonts w:ascii="Palatino Linotype" w:eastAsia="Calibri" w:hAnsi="Palatino Linotype" w:cs="Times New Roman"/>
                <w:b w:val="0"/>
                <w:i/>
                <w:color w:val="auto"/>
                <w:sz w:val="20"/>
                <w:szCs w:val="20"/>
                <w:lang w:val="en-GB"/>
              </w:rPr>
              <w:t xml:space="preserve"> </w:t>
            </w:r>
            <w:r>
              <w:rPr>
                <w:rStyle w:val="Heading1Char"/>
                <w:rFonts w:ascii="Palatino Linotype" w:eastAsia="Calibri" w:hAnsi="Palatino Linotype" w:cs="Times New Roman"/>
                <w:b w:val="0"/>
                <w:i/>
                <w:color w:val="auto"/>
                <w:sz w:val="20"/>
                <w:szCs w:val="20"/>
                <w:lang w:val="en-GB"/>
              </w:rPr>
              <w:t xml:space="preserve">some details about </w:t>
            </w:r>
            <w:bookmarkStart w:id="0" w:name="_GoBack"/>
            <w:bookmarkEnd w:id="0"/>
            <w:r w:rsidRPr="003B757D">
              <w:rPr>
                <w:rStyle w:val="Heading1Char"/>
                <w:rFonts w:ascii="Palatino Linotype" w:eastAsia="Calibri" w:hAnsi="Palatino Linotype" w:cs="Times New Roman"/>
                <w:b w:val="0"/>
                <w:i/>
                <w:color w:val="auto"/>
                <w:sz w:val="20"/>
                <w:szCs w:val="20"/>
                <w:lang w:val="en-GB"/>
              </w:rPr>
              <w:t>Intangible</w:t>
            </w:r>
          </w:p>
        </w:tc>
      </w:tr>
    </w:tbl>
    <w:tbl>
      <w:tblPr>
        <w:tblStyle w:val="TableGrid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9"/>
        <w:gridCol w:w="7938"/>
      </w:tblGrid>
      <w:tr w:rsidR="00E302BE" w:rsidRPr="00AE5697" w:rsidTr="00AE5697">
        <w:trPr>
          <w:trHeight w:val="626"/>
        </w:trPr>
        <w:tc>
          <w:tcPr>
            <w:tcW w:w="1809" w:type="dxa"/>
          </w:tcPr>
          <w:p w:rsidR="00E302BE" w:rsidRPr="00AE5697" w:rsidRDefault="00E302BE" w:rsidP="00AD09BD">
            <w:pPr>
              <w:spacing w:before="80" w:after="80" w:line="276" w:lineRule="auto"/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</w:pPr>
            <w:r w:rsidRPr="00AE5697"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  <w:t xml:space="preserve">Case Studies </w:t>
            </w:r>
          </w:p>
        </w:tc>
        <w:tc>
          <w:tcPr>
            <w:tcW w:w="7938" w:type="dxa"/>
          </w:tcPr>
          <w:p w:rsidR="00E302BE" w:rsidRPr="00AE5697" w:rsidRDefault="00771CDF" w:rsidP="00AB670E">
            <w:pPr>
              <w:spacing w:before="80" w:after="80" w:line="276" w:lineRule="auto"/>
              <w:jc w:val="both"/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</w:pPr>
            <w:r w:rsidRPr="00AE5697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 xml:space="preserve">No </w:t>
            </w:r>
          </w:p>
        </w:tc>
      </w:tr>
      <w:tr w:rsidR="00E302BE" w:rsidRPr="003B757D" w:rsidTr="00AE5697">
        <w:trPr>
          <w:trHeight w:val="1236"/>
        </w:trPr>
        <w:tc>
          <w:tcPr>
            <w:tcW w:w="1809" w:type="dxa"/>
          </w:tcPr>
          <w:p w:rsidR="00E302BE" w:rsidRPr="00AE5697" w:rsidRDefault="00E302BE" w:rsidP="00AD09BD">
            <w:pPr>
              <w:spacing w:before="80" w:after="80" w:line="276" w:lineRule="auto"/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</w:pPr>
            <w:r w:rsidRPr="00AE5697"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  <w:t>Uncertainty</w:t>
            </w:r>
          </w:p>
        </w:tc>
        <w:tc>
          <w:tcPr>
            <w:tcW w:w="7938" w:type="dxa"/>
          </w:tcPr>
          <w:p w:rsidR="00AE5697" w:rsidRPr="00AE5697" w:rsidRDefault="00C6686B" w:rsidP="00AE5697">
            <w:pPr>
              <w:spacing w:before="80" w:after="80" w:line="276" w:lineRule="auto"/>
              <w:jc w:val="both"/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</w:pPr>
            <w:r w:rsidRPr="00AE5697">
              <w:rPr>
                <w:rStyle w:val="Heading1Char"/>
                <w:rFonts w:ascii="Palatino Linotype" w:hAnsi="Palatino Linotype"/>
                <w:b w:val="0"/>
                <w:i/>
                <w:color w:val="auto"/>
                <w:sz w:val="22"/>
                <w:szCs w:val="22"/>
                <w:lang w:val="en-GB"/>
              </w:rPr>
              <w:t>Uncertainty analysis</w:t>
            </w:r>
            <w:r w:rsidRPr="00AE5697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 xml:space="preserve"> </w:t>
            </w:r>
            <w:r w:rsidR="00AD09BD" w:rsidRPr="00AE5697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 xml:space="preserve">addresses </w:t>
            </w:r>
            <w:r w:rsidRPr="00AE5697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 xml:space="preserve">the uncertain </w:t>
            </w:r>
            <w:r w:rsidR="00AE5697" w:rsidRPr="00AE5697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derived from errors and unknowns</w:t>
            </w:r>
            <w:r w:rsidRPr="00AE5697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 xml:space="preserve">. </w:t>
            </w:r>
            <w:r w:rsidRPr="00AE5697">
              <w:rPr>
                <w:rStyle w:val="Heading1Char"/>
                <w:rFonts w:ascii="Palatino Linotype" w:hAnsi="Palatino Linotype"/>
                <w:b w:val="0"/>
                <w:i/>
                <w:color w:val="auto"/>
                <w:sz w:val="22"/>
                <w:szCs w:val="22"/>
                <w:lang w:val="en-GB"/>
              </w:rPr>
              <w:t>Risk analysis</w:t>
            </w:r>
            <w:r w:rsidRPr="00AE5697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 xml:space="preserve"> deals with uncertainty in terms of the risk of impact.</w:t>
            </w:r>
            <w:r w:rsidR="00AB670E" w:rsidRPr="00AE5697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 xml:space="preserve"> </w:t>
            </w:r>
          </w:p>
        </w:tc>
      </w:tr>
      <w:tr w:rsidR="00E302BE" w:rsidRPr="00AE5697" w:rsidTr="00AE5697">
        <w:trPr>
          <w:trHeight w:val="688"/>
        </w:trPr>
        <w:tc>
          <w:tcPr>
            <w:tcW w:w="1809" w:type="dxa"/>
          </w:tcPr>
          <w:p w:rsidR="00E302BE" w:rsidRPr="00AE5697" w:rsidRDefault="00E302BE" w:rsidP="00AD09BD">
            <w:pPr>
              <w:spacing w:before="80" w:after="80" w:line="276" w:lineRule="auto"/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</w:pPr>
            <w:r w:rsidRPr="00AE5697"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  <w:t xml:space="preserve">Climate Change </w:t>
            </w:r>
          </w:p>
        </w:tc>
        <w:tc>
          <w:tcPr>
            <w:tcW w:w="7938" w:type="dxa"/>
          </w:tcPr>
          <w:p w:rsidR="00E302BE" w:rsidRPr="00AE5697" w:rsidRDefault="00AE5697" w:rsidP="00AB670E">
            <w:pPr>
              <w:spacing w:before="80" w:after="80" w:line="276" w:lineRule="auto"/>
              <w:jc w:val="both"/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</w:pPr>
            <w:r w:rsidRPr="00AE5697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No. The guidance is not specifically aimed at the assessment of climate change patterns. It is specifically focused on impact assessment.</w:t>
            </w:r>
          </w:p>
        </w:tc>
      </w:tr>
      <w:tr w:rsidR="00C6686B" w:rsidRPr="00AE5697" w:rsidTr="00AE5697">
        <w:trPr>
          <w:trHeight w:val="689"/>
        </w:trPr>
        <w:tc>
          <w:tcPr>
            <w:tcW w:w="1809" w:type="dxa"/>
          </w:tcPr>
          <w:p w:rsidR="00C6686B" w:rsidRPr="00AE5697" w:rsidRDefault="00AD09BD" w:rsidP="00F430B9">
            <w:pPr>
              <w:spacing w:before="80" w:after="80" w:line="276" w:lineRule="auto"/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</w:pPr>
            <w:r w:rsidRPr="00AE5697"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  <w:t>Flood</w:t>
            </w:r>
          </w:p>
        </w:tc>
        <w:tc>
          <w:tcPr>
            <w:tcW w:w="7938" w:type="dxa"/>
          </w:tcPr>
          <w:p w:rsidR="00C6686B" w:rsidRPr="00AE5697" w:rsidRDefault="00C6686B" w:rsidP="00AB670E">
            <w:pPr>
              <w:spacing w:before="80" w:after="80" w:line="276" w:lineRule="auto"/>
              <w:jc w:val="both"/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</w:pPr>
            <w:r w:rsidRPr="00AE5697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No</w:t>
            </w:r>
            <w:r w:rsidR="00AD09BD" w:rsidRPr="00AE5697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 xml:space="preserve"> specific guidance</w:t>
            </w:r>
          </w:p>
        </w:tc>
      </w:tr>
      <w:tr w:rsidR="00C6686B" w:rsidRPr="003B757D" w:rsidTr="00AE5697">
        <w:trPr>
          <w:trHeight w:val="302"/>
        </w:trPr>
        <w:tc>
          <w:tcPr>
            <w:tcW w:w="1809" w:type="dxa"/>
          </w:tcPr>
          <w:p w:rsidR="00C6686B" w:rsidRPr="00AE5697" w:rsidRDefault="00C6686B" w:rsidP="00F430B9">
            <w:pPr>
              <w:spacing w:before="80" w:after="80" w:line="276" w:lineRule="auto"/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</w:pPr>
            <w:r w:rsidRPr="00AE5697"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  <w:t>Data need</w:t>
            </w:r>
          </w:p>
        </w:tc>
        <w:tc>
          <w:tcPr>
            <w:tcW w:w="7938" w:type="dxa"/>
          </w:tcPr>
          <w:p w:rsidR="00C6686B" w:rsidRPr="00AE5697" w:rsidRDefault="00AE5697" w:rsidP="00AB670E">
            <w:pPr>
              <w:spacing w:before="80" w:after="80" w:line="276" w:lineRule="auto"/>
              <w:jc w:val="both"/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</w:pPr>
            <w:r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The guidance document specifies the basic characteristics of the data required for the assessment. Main issues are related to: type of data; time period; sources and format; quantity and quality; availability; and accessibility.</w:t>
            </w:r>
          </w:p>
        </w:tc>
      </w:tr>
      <w:tr w:rsidR="00E302BE" w:rsidRPr="003B757D" w:rsidTr="00AE5697">
        <w:trPr>
          <w:trHeight w:val="721"/>
        </w:trPr>
        <w:tc>
          <w:tcPr>
            <w:tcW w:w="1809" w:type="dxa"/>
          </w:tcPr>
          <w:p w:rsidR="00E302BE" w:rsidRPr="00AE5697" w:rsidRDefault="00AD09BD" w:rsidP="00AD09BD">
            <w:pPr>
              <w:spacing w:before="80" w:after="80" w:line="276" w:lineRule="auto"/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</w:pPr>
            <w:r w:rsidRPr="00AE5697">
              <w:rPr>
                <w:rStyle w:val="Heading1Char"/>
                <w:rFonts w:ascii="Palatino Linotype" w:hAnsi="Palatino Linotype"/>
                <w:i/>
                <w:color w:val="auto"/>
                <w:sz w:val="22"/>
                <w:szCs w:val="22"/>
                <w:lang w:val="en-GB"/>
              </w:rPr>
              <w:t>Comments</w:t>
            </w:r>
          </w:p>
        </w:tc>
        <w:tc>
          <w:tcPr>
            <w:tcW w:w="7938" w:type="dxa"/>
          </w:tcPr>
          <w:p w:rsidR="00E302BE" w:rsidRPr="00AE5697" w:rsidRDefault="00AD09BD" w:rsidP="00AB670E">
            <w:pPr>
              <w:spacing w:before="80" w:after="80" w:line="276" w:lineRule="auto"/>
              <w:jc w:val="both"/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</w:pPr>
            <w:r w:rsidRPr="00AE5697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The</w:t>
            </w:r>
            <w:r w:rsidR="00E302BE" w:rsidRPr="00AE5697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 xml:space="preserve"> Guid</w:t>
            </w:r>
            <w:r w:rsidRPr="00AE5697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 xml:space="preserve">ance is </w:t>
            </w:r>
            <w:r w:rsidR="00E302BE" w:rsidRPr="00AE5697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 xml:space="preserve">currently being revised in the context of UNEP </w:t>
            </w:r>
            <w:r w:rsidR="00AB670E" w:rsidRPr="00AE5697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- Programme of Research on Climate Change Vulnerability, Impacts and Adaptation (PROVIA) (</w:t>
            </w:r>
            <w:hyperlink r:id="rId6" w:history="1">
              <w:r w:rsidR="00AB670E" w:rsidRPr="00AE5697">
                <w:rPr>
                  <w:rStyle w:val="Hyperlink"/>
                  <w:rFonts w:ascii="Palatino Linotype" w:eastAsiaTheme="majorEastAsia" w:hAnsi="Palatino Linotype" w:cstheme="majorBidi"/>
                  <w:lang w:val="en-GB"/>
                </w:rPr>
                <w:t>http://www.unep.org/provia/</w:t>
              </w:r>
            </w:hyperlink>
            <w:r w:rsidR="00AB670E" w:rsidRPr="00AE5697">
              <w:rPr>
                <w:rStyle w:val="Heading1Char"/>
                <w:rFonts w:ascii="Palatino Linotype" w:hAnsi="Palatino Linotype"/>
                <w:b w:val="0"/>
                <w:color w:val="auto"/>
                <w:sz w:val="22"/>
                <w:szCs w:val="22"/>
                <w:lang w:val="en-GB"/>
              </w:rPr>
              <w:t>)</w:t>
            </w:r>
          </w:p>
        </w:tc>
      </w:tr>
    </w:tbl>
    <w:p w:rsidR="00475825" w:rsidRPr="00AE5697" w:rsidRDefault="00475825" w:rsidP="00C6686B">
      <w:pPr>
        <w:rPr>
          <w:rStyle w:val="Heading2Char"/>
          <w:color w:val="auto"/>
          <w:sz w:val="22"/>
          <w:szCs w:val="22"/>
          <w:lang w:val="en-GB"/>
        </w:rPr>
      </w:pPr>
    </w:p>
    <w:sectPr w:rsidR="00475825" w:rsidRPr="00AE5697" w:rsidSect="00F430B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872"/>
    <w:rsid w:val="000110FB"/>
    <w:rsid w:val="0003398C"/>
    <w:rsid w:val="000602E5"/>
    <w:rsid w:val="000D0DE0"/>
    <w:rsid w:val="001F1FC6"/>
    <w:rsid w:val="002E01DD"/>
    <w:rsid w:val="003B757D"/>
    <w:rsid w:val="00475825"/>
    <w:rsid w:val="005E2677"/>
    <w:rsid w:val="00771CDF"/>
    <w:rsid w:val="007B373A"/>
    <w:rsid w:val="00862872"/>
    <w:rsid w:val="008748BE"/>
    <w:rsid w:val="00A47827"/>
    <w:rsid w:val="00AB670E"/>
    <w:rsid w:val="00AD09BD"/>
    <w:rsid w:val="00AE5697"/>
    <w:rsid w:val="00B925E9"/>
    <w:rsid w:val="00C6686B"/>
    <w:rsid w:val="00E302BE"/>
    <w:rsid w:val="00F430B9"/>
    <w:rsid w:val="00FD1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8628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628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8628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628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4758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47582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AD09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09B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09B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09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09B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9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9B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B670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86287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6287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86287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6287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4758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47582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AD09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09B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09B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09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09B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09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09B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B67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unep.org/provia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65A390-E3DE-4423-8C46-F1A1FE654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248</Words>
  <Characters>1420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Fabio Farinosi</dc:creator>
  <cp:lastModifiedBy>Fabio Farinosi</cp:lastModifiedBy>
  <cp:revision>6</cp:revision>
  <dcterms:created xsi:type="dcterms:W3CDTF">2013-06-25T08:58:00Z</dcterms:created>
  <dcterms:modified xsi:type="dcterms:W3CDTF">2013-07-25T13:50:00Z</dcterms:modified>
</cp:coreProperties>
</file>