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2235"/>
        <w:gridCol w:w="7512"/>
      </w:tblGrid>
      <w:tr w:rsidR="00AD09BD" w:rsidRPr="00045A91" w:rsidTr="00AD09BD">
        <w:tc>
          <w:tcPr>
            <w:tcW w:w="2235" w:type="dxa"/>
            <w:vMerge w:val="restart"/>
            <w:vAlign w:val="center"/>
          </w:tcPr>
          <w:p w:rsidR="00AD09BD" w:rsidRPr="00AD09BD" w:rsidRDefault="00AD09BD" w:rsidP="004D5D13">
            <w:pPr>
              <w:spacing w:before="80" w:after="80" w:line="276" w:lineRule="auto"/>
              <w:jc w:val="both"/>
              <w:rPr>
                <w:rStyle w:val="Heading1Char"/>
                <w:rFonts w:ascii="Palatino Linotype" w:hAnsi="Palatino Linotype"/>
                <w:i/>
                <w:color w:val="auto"/>
                <w:sz w:val="24"/>
                <w:szCs w:val="24"/>
                <w:lang w:val="en-GB"/>
              </w:rPr>
            </w:pPr>
            <w:r w:rsidRPr="00AD09BD">
              <w:rPr>
                <w:rStyle w:val="Heading1Char"/>
                <w:rFonts w:ascii="Palatino Linotype" w:hAnsi="Palatino Linotype"/>
                <w:i/>
                <w:color w:val="auto"/>
                <w:sz w:val="24"/>
                <w:szCs w:val="24"/>
                <w:lang w:val="en-GB"/>
              </w:rPr>
              <w:t>Reference</w:t>
            </w:r>
          </w:p>
        </w:tc>
        <w:tc>
          <w:tcPr>
            <w:tcW w:w="7512" w:type="dxa"/>
          </w:tcPr>
          <w:p w:rsidR="00AD09BD" w:rsidRPr="00AD09BD" w:rsidRDefault="00803ABE" w:rsidP="004D5D13">
            <w:pPr>
              <w:spacing w:before="80" w:after="80" w:line="276" w:lineRule="auto"/>
              <w:jc w:val="both"/>
              <w:rPr>
                <w:rStyle w:val="Heading1Char"/>
                <w:rFonts w:ascii="Palatino Linotype" w:hAnsi="Palatino Linotype"/>
                <w:color w:val="auto"/>
                <w:sz w:val="24"/>
                <w:szCs w:val="24"/>
                <w:lang w:val="en-GB"/>
              </w:rPr>
            </w:pPr>
            <w:r w:rsidRPr="00803ABE">
              <w:rPr>
                <w:rStyle w:val="Heading1Char"/>
                <w:rFonts w:ascii="Palatino Linotype" w:hAnsi="Palatino Linotype"/>
                <w:color w:val="auto"/>
                <w:sz w:val="24"/>
                <w:szCs w:val="24"/>
                <w:lang w:val="en-GB"/>
              </w:rPr>
              <w:t>Evaluating flood damages: guidance and recommendations on principles and methods</w:t>
            </w:r>
          </w:p>
        </w:tc>
      </w:tr>
      <w:tr w:rsidR="00AD09BD" w:rsidRPr="00803ABE" w:rsidTr="00F430B9">
        <w:tc>
          <w:tcPr>
            <w:tcW w:w="2235" w:type="dxa"/>
            <w:vMerge/>
          </w:tcPr>
          <w:p w:rsidR="00AD09BD" w:rsidRPr="00AD09BD" w:rsidRDefault="00AD09BD" w:rsidP="004D5D13">
            <w:pPr>
              <w:spacing w:before="80" w:after="80" w:line="276" w:lineRule="auto"/>
              <w:jc w:val="both"/>
              <w:rPr>
                <w:rStyle w:val="Heading1Char"/>
                <w:rFonts w:ascii="Palatino Linotype" w:hAnsi="Palatino Linotype"/>
                <w:i/>
                <w:color w:val="auto"/>
                <w:sz w:val="24"/>
                <w:szCs w:val="24"/>
                <w:lang w:val="en-GB"/>
              </w:rPr>
            </w:pPr>
          </w:p>
        </w:tc>
        <w:tc>
          <w:tcPr>
            <w:tcW w:w="7512" w:type="dxa"/>
          </w:tcPr>
          <w:p w:rsidR="00AD09BD" w:rsidRPr="00AD09BD" w:rsidRDefault="00803ABE" w:rsidP="004D5D13">
            <w:pPr>
              <w:spacing w:before="80" w:after="80" w:line="276" w:lineRule="auto"/>
              <w:jc w:val="both"/>
              <w:rPr>
                <w:rStyle w:val="Heading1Char"/>
                <w:rFonts w:ascii="Palatino Linotype" w:hAnsi="Palatino Linotype"/>
                <w:b w:val="0"/>
                <w:color w:val="auto"/>
                <w:sz w:val="24"/>
                <w:szCs w:val="24"/>
                <w:lang w:val="en-GB"/>
              </w:rPr>
            </w:pPr>
            <w:proofErr w:type="spellStart"/>
            <w:r w:rsidRPr="00803ABE">
              <w:rPr>
                <w:rStyle w:val="Heading1Char"/>
                <w:rFonts w:ascii="Palatino Linotype" w:hAnsi="Palatino Linotype"/>
                <w:b w:val="0"/>
                <w:color w:val="auto"/>
                <w:sz w:val="24"/>
                <w:szCs w:val="24"/>
                <w:lang w:val="en-GB"/>
              </w:rPr>
              <w:t>FLOODsite</w:t>
            </w:r>
            <w:proofErr w:type="spellEnd"/>
            <w:r w:rsidRPr="00803ABE">
              <w:rPr>
                <w:rStyle w:val="Heading1Char"/>
                <w:rFonts w:ascii="Palatino Linotype" w:hAnsi="Palatino Linotype"/>
                <w:b w:val="0"/>
                <w:color w:val="auto"/>
                <w:sz w:val="24"/>
                <w:szCs w:val="24"/>
                <w:lang w:val="en-GB"/>
              </w:rPr>
              <w:t xml:space="preserve"> consortium</w:t>
            </w:r>
          </w:p>
        </w:tc>
      </w:tr>
      <w:tr w:rsidR="00AD09BD" w:rsidRPr="00803ABE" w:rsidTr="00F430B9">
        <w:tc>
          <w:tcPr>
            <w:tcW w:w="2235" w:type="dxa"/>
            <w:vMerge/>
          </w:tcPr>
          <w:p w:rsidR="00AD09BD" w:rsidRPr="00AD09BD" w:rsidRDefault="00AD09BD" w:rsidP="004D5D13">
            <w:pPr>
              <w:spacing w:before="80" w:after="80" w:line="276" w:lineRule="auto"/>
              <w:jc w:val="both"/>
              <w:rPr>
                <w:rStyle w:val="Heading1Char"/>
                <w:rFonts w:ascii="Palatino Linotype" w:hAnsi="Palatino Linotype"/>
                <w:i/>
                <w:color w:val="auto"/>
                <w:sz w:val="24"/>
                <w:szCs w:val="24"/>
                <w:lang w:val="en-GB"/>
              </w:rPr>
            </w:pPr>
          </w:p>
        </w:tc>
        <w:tc>
          <w:tcPr>
            <w:tcW w:w="7512" w:type="dxa"/>
          </w:tcPr>
          <w:p w:rsidR="00AD09BD" w:rsidRPr="00AD09BD" w:rsidRDefault="00803ABE" w:rsidP="004D5D13">
            <w:pPr>
              <w:spacing w:before="80" w:after="80" w:line="276" w:lineRule="auto"/>
              <w:jc w:val="both"/>
              <w:rPr>
                <w:rStyle w:val="Heading1Char"/>
                <w:rFonts w:ascii="Palatino Linotype" w:hAnsi="Palatino Linotype"/>
                <w:b w:val="0"/>
                <w:color w:val="auto"/>
                <w:sz w:val="24"/>
                <w:szCs w:val="24"/>
                <w:lang w:val="en-GB"/>
              </w:rPr>
            </w:pPr>
            <w:proofErr w:type="spellStart"/>
            <w:r w:rsidRPr="00803ABE">
              <w:rPr>
                <w:rStyle w:val="Heading1Char"/>
                <w:rFonts w:ascii="Palatino Linotype" w:hAnsi="Palatino Linotype"/>
                <w:b w:val="0"/>
                <w:color w:val="auto"/>
                <w:sz w:val="24"/>
                <w:szCs w:val="24"/>
                <w:lang w:val="en-GB"/>
              </w:rPr>
              <w:t>Messner</w:t>
            </w:r>
            <w:proofErr w:type="spellEnd"/>
            <w:r w:rsidRPr="00803ABE">
              <w:rPr>
                <w:rStyle w:val="Heading1Char"/>
                <w:rFonts w:ascii="Palatino Linotype" w:hAnsi="Palatino Linotype"/>
                <w:b w:val="0"/>
                <w:color w:val="auto"/>
                <w:sz w:val="24"/>
                <w:szCs w:val="24"/>
                <w:lang w:val="en-GB"/>
              </w:rPr>
              <w:t xml:space="preserve"> et al, F. (2007). Evaluating flood damages: guidance and recommendations on principles and methods. </w:t>
            </w:r>
            <w:proofErr w:type="spellStart"/>
            <w:r w:rsidRPr="00803ABE">
              <w:rPr>
                <w:rStyle w:val="Heading1Char"/>
                <w:rFonts w:ascii="Palatino Linotype" w:hAnsi="Palatino Linotype"/>
                <w:b w:val="0"/>
                <w:color w:val="auto"/>
                <w:sz w:val="24"/>
                <w:szCs w:val="24"/>
                <w:lang w:val="en-GB"/>
              </w:rPr>
              <w:t>FLOODsite</w:t>
            </w:r>
            <w:proofErr w:type="spellEnd"/>
            <w:r w:rsidRPr="00803ABE">
              <w:rPr>
                <w:rStyle w:val="Heading1Char"/>
                <w:rFonts w:ascii="Palatino Linotype" w:hAnsi="Palatino Linotype"/>
                <w:b w:val="0"/>
                <w:color w:val="auto"/>
                <w:sz w:val="24"/>
                <w:szCs w:val="24"/>
                <w:lang w:val="en-GB"/>
              </w:rPr>
              <w:t xml:space="preserve"> consortium, 2007. Integrated Flood Risk Analysis and Management Methodologies.</w:t>
            </w:r>
          </w:p>
        </w:tc>
      </w:tr>
      <w:tr w:rsidR="00F430B9" w:rsidRPr="00045A91" w:rsidTr="00F430B9">
        <w:tc>
          <w:tcPr>
            <w:tcW w:w="2235" w:type="dxa"/>
          </w:tcPr>
          <w:p w:rsidR="00F430B9" w:rsidRPr="00AD09BD" w:rsidRDefault="00F430B9" w:rsidP="004D5D13">
            <w:pPr>
              <w:spacing w:before="80" w:after="80" w:line="276" w:lineRule="auto"/>
              <w:jc w:val="both"/>
              <w:rPr>
                <w:rStyle w:val="Heading1Char"/>
                <w:rFonts w:ascii="Palatino Linotype" w:hAnsi="Palatino Linotype"/>
                <w:i/>
                <w:color w:val="auto"/>
                <w:sz w:val="24"/>
                <w:szCs w:val="24"/>
                <w:lang w:val="en-GB"/>
              </w:rPr>
            </w:pPr>
            <w:r w:rsidRPr="00AD09BD">
              <w:rPr>
                <w:rStyle w:val="Heading1Char"/>
                <w:rFonts w:ascii="Palatino Linotype" w:hAnsi="Palatino Linotype"/>
                <w:i/>
                <w:color w:val="auto"/>
                <w:sz w:val="24"/>
                <w:szCs w:val="24"/>
                <w:lang w:val="en-GB"/>
              </w:rPr>
              <w:t>Scope</w:t>
            </w:r>
          </w:p>
        </w:tc>
        <w:tc>
          <w:tcPr>
            <w:tcW w:w="7512" w:type="dxa"/>
          </w:tcPr>
          <w:p w:rsidR="00F430B9" w:rsidRPr="004D5D13" w:rsidRDefault="00310F08" w:rsidP="00310F08">
            <w:pPr>
              <w:autoSpaceDE w:val="0"/>
              <w:autoSpaceDN w:val="0"/>
              <w:adjustRightInd w:val="0"/>
              <w:jc w:val="both"/>
              <w:rPr>
                <w:rStyle w:val="Heading1Char"/>
                <w:rFonts w:ascii="Palatino Linotype" w:hAnsi="Palatino Linotype"/>
                <w:b w:val="0"/>
                <w:color w:val="auto"/>
                <w:sz w:val="24"/>
                <w:szCs w:val="24"/>
                <w:lang w:val="en-GB"/>
              </w:rPr>
            </w:pPr>
            <w:r w:rsidRPr="00310F08">
              <w:rPr>
                <w:rStyle w:val="Heading1Char"/>
                <w:rFonts w:ascii="Palatino Linotype" w:hAnsi="Palatino Linotype"/>
                <w:b w:val="0"/>
                <w:color w:val="auto"/>
                <w:sz w:val="24"/>
                <w:szCs w:val="24"/>
                <w:lang w:val="en-GB"/>
              </w:rPr>
              <w:t>The major purpose of these guidelines is to give guidance for practitioners of governmental</w:t>
            </w:r>
            <w:r>
              <w:rPr>
                <w:rStyle w:val="Heading1Char"/>
                <w:rFonts w:ascii="Palatino Linotype" w:hAnsi="Palatino Linotype"/>
                <w:b w:val="0"/>
                <w:color w:val="auto"/>
                <w:sz w:val="24"/>
                <w:szCs w:val="24"/>
                <w:lang w:val="en-GB"/>
              </w:rPr>
              <w:t xml:space="preserve"> </w:t>
            </w:r>
            <w:r w:rsidRPr="00310F08">
              <w:rPr>
                <w:rStyle w:val="Heading1Char"/>
                <w:rFonts w:ascii="Palatino Linotype" w:hAnsi="Palatino Linotype"/>
                <w:b w:val="0"/>
                <w:color w:val="auto"/>
                <w:sz w:val="24"/>
                <w:szCs w:val="24"/>
                <w:lang w:val="en-GB"/>
              </w:rPr>
              <w:t>authorities and executing bodies dealing with ex-ante flood damage evaluation in order to appraise</w:t>
            </w:r>
            <w:r>
              <w:rPr>
                <w:rStyle w:val="Heading1Char"/>
                <w:rFonts w:ascii="Palatino Linotype" w:hAnsi="Palatino Linotype"/>
                <w:b w:val="0"/>
                <w:color w:val="auto"/>
                <w:sz w:val="24"/>
                <w:szCs w:val="24"/>
                <w:lang w:val="en-GB"/>
              </w:rPr>
              <w:t xml:space="preserve"> </w:t>
            </w:r>
            <w:r w:rsidRPr="00310F08">
              <w:rPr>
                <w:rStyle w:val="Heading1Char"/>
                <w:rFonts w:ascii="Palatino Linotype" w:hAnsi="Palatino Linotype"/>
                <w:b w:val="0"/>
                <w:color w:val="auto"/>
                <w:sz w:val="24"/>
                <w:szCs w:val="24"/>
                <w:lang w:val="en-GB"/>
              </w:rPr>
              <w:t>public flood defence projects or strategies on different spatial scales.</w:t>
            </w:r>
          </w:p>
        </w:tc>
      </w:tr>
    </w:tbl>
    <w:tbl>
      <w:tblPr>
        <w:tblStyle w:val="LightShading-Accent1"/>
        <w:tblW w:w="9747" w:type="dxa"/>
        <w:tblLook w:val="04A0" w:firstRow="1" w:lastRow="0" w:firstColumn="1" w:lastColumn="0" w:noHBand="0" w:noVBand="1"/>
      </w:tblPr>
      <w:tblGrid>
        <w:gridCol w:w="2235"/>
        <w:gridCol w:w="2504"/>
        <w:gridCol w:w="2504"/>
        <w:gridCol w:w="2504"/>
      </w:tblGrid>
      <w:tr w:rsidR="00F430B9" w:rsidRPr="00AE5697" w:rsidTr="00AD09B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35" w:type="dxa"/>
            <w:vMerge w:val="restart"/>
            <w:vAlign w:val="center"/>
          </w:tcPr>
          <w:p w:rsidR="00F430B9" w:rsidRPr="00AE5697" w:rsidRDefault="00F430B9" w:rsidP="00AD09BD">
            <w:pPr>
              <w:spacing w:before="80" w:after="80" w:line="276" w:lineRule="auto"/>
              <w:rPr>
                <w:rStyle w:val="Heading1Char"/>
                <w:rFonts w:ascii="Palatino Linotype" w:hAnsi="Palatino Linotype"/>
                <w:b/>
                <w:i/>
                <w:color w:val="auto"/>
                <w:sz w:val="22"/>
                <w:szCs w:val="22"/>
                <w:lang w:val="en-GB"/>
              </w:rPr>
            </w:pPr>
            <w:r w:rsidRPr="00AE5697">
              <w:rPr>
                <w:rStyle w:val="Heading1Char"/>
                <w:rFonts w:ascii="Palatino Linotype" w:hAnsi="Palatino Linotype"/>
                <w:b/>
                <w:i/>
                <w:color w:val="auto"/>
                <w:sz w:val="22"/>
                <w:szCs w:val="22"/>
                <w:lang w:val="en-GB"/>
              </w:rPr>
              <w:t>Impacts</w:t>
            </w:r>
          </w:p>
        </w:tc>
        <w:tc>
          <w:tcPr>
            <w:tcW w:w="2504" w:type="dxa"/>
          </w:tcPr>
          <w:p w:rsidR="00F430B9" w:rsidRPr="00AE5697" w:rsidRDefault="00F430B9" w:rsidP="00AD09BD">
            <w:pPr>
              <w:spacing w:before="80" w:after="80"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Style w:val="Heading1Char"/>
                <w:rFonts w:ascii="Palatino Linotype" w:hAnsi="Palatino Linotype"/>
                <w:i/>
                <w:color w:val="auto"/>
                <w:sz w:val="22"/>
                <w:szCs w:val="22"/>
                <w:lang w:val="en-GB"/>
              </w:rPr>
            </w:pPr>
            <w:r w:rsidRPr="00AE5697">
              <w:rPr>
                <w:rStyle w:val="Heading1Char"/>
                <w:rFonts w:ascii="Palatino Linotype" w:hAnsi="Palatino Linotype"/>
                <w:i/>
                <w:color w:val="auto"/>
                <w:sz w:val="22"/>
                <w:szCs w:val="22"/>
                <w:lang w:val="en-GB"/>
              </w:rPr>
              <w:t>Environmental</w:t>
            </w:r>
          </w:p>
        </w:tc>
        <w:tc>
          <w:tcPr>
            <w:tcW w:w="2504" w:type="dxa"/>
          </w:tcPr>
          <w:p w:rsidR="00F430B9" w:rsidRPr="00AE5697" w:rsidRDefault="00F430B9" w:rsidP="00AD09BD">
            <w:pPr>
              <w:spacing w:before="80" w:after="80"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Style w:val="Heading1Char"/>
                <w:rFonts w:ascii="Palatino Linotype" w:hAnsi="Palatino Linotype"/>
                <w:i/>
                <w:color w:val="auto"/>
                <w:sz w:val="22"/>
                <w:szCs w:val="22"/>
                <w:lang w:val="en-GB"/>
              </w:rPr>
            </w:pPr>
            <w:r w:rsidRPr="00AE5697">
              <w:rPr>
                <w:rStyle w:val="Heading1Char"/>
                <w:rFonts w:ascii="Palatino Linotype" w:hAnsi="Palatino Linotype"/>
                <w:i/>
                <w:color w:val="auto"/>
                <w:sz w:val="22"/>
                <w:szCs w:val="22"/>
                <w:lang w:val="en-GB"/>
              </w:rPr>
              <w:t>Social</w:t>
            </w:r>
          </w:p>
        </w:tc>
        <w:tc>
          <w:tcPr>
            <w:tcW w:w="2504" w:type="dxa"/>
          </w:tcPr>
          <w:p w:rsidR="00F430B9" w:rsidRPr="00AE5697" w:rsidRDefault="00F430B9" w:rsidP="00AD09BD">
            <w:pPr>
              <w:spacing w:before="80" w:after="80"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Style w:val="Heading1Char"/>
                <w:rFonts w:ascii="Palatino Linotype" w:hAnsi="Palatino Linotype"/>
                <w:i/>
                <w:color w:val="auto"/>
                <w:sz w:val="22"/>
                <w:szCs w:val="22"/>
                <w:lang w:val="en-GB"/>
              </w:rPr>
            </w:pPr>
            <w:r w:rsidRPr="00AE5697">
              <w:rPr>
                <w:rStyle w:val="Heading1Char"/>
                <w:rFonts w:ascii="Palatino Linotype" w:hAnsi="Palatino Linotype"/>
                <w:i/>
                <w:color w:val="auto"/>
                <w:sz w:val="22"/>
                <w:szCs w:val="22"/>
                <w:lang w:val="en-GB"/>
              </w:rPr>
              <w:t>Economic</w:t>
            </w:r>
          </w:p>
        </w:tc>
      </w:tr>
      <w:tr w:rsidR="00F430B9" w:rsidRPr="00AE5697" w:rsidTr="00F430B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35" w:type="dxa"/>
            <w:vMerge/>
          </w:tcPr>
          <w:p w:rsidR="00F430B9" w:rsidRPr="00AE5697" w:rsidRDefault="00F430B9" w:rsidP="00F430B9">
            <w:pPr>
              <w:spacing w:before="80" w:after="80" w:line="276" w:lineRule="auto"/>
              <w:rPr>
                <w:rStyle w:val="Heading1Char"/>
                <w:rFonts w:ascii="Palatino Linotype" w:hAnsi="Palatino Linotype"/>
                <w:i/>
                <w:color w:val="auto"/>
                <w:sz w:val="22"/>
                <w:szCs w:val="22"/>
                <w:lang w:val="en-GB"/>
              </w:rPr>
            </w:pPr>
          </w:p>
        </w:tc>
        <w:tc>
          <w:tcPr>
            <w:tcW w:w="2504" w:type="dxa"/>
          </w:tcPr>
          <w:p w:rsidR="00F430B9" w:rsidRPr="00AE5697" w:rsidRDefault="00F430B9" w:rsidP="00F430B9">
            <w:pPr>
              <w:spacing w:before="80" w:after="80"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Heading1Char"/>
                <w:rFonts w:ascii="Palatino Linotype" w:hAnsi="Palatino Linotype"/>
                <w:i/>
                <w:color w:val="auto"/>
                <w:sz w:val="20"/>
                <w:szCs w:val="20"/>
                <w:lang w:val="en-GB"/>
              </w:rPr>
            </w:pPr>
            <w:r w:rsidRPr="00AE5697">
              <w:rPr>
                <w:rStyle w:val="Heading1Char"/>
                <w:rFonts w:ascii="Palatino Linotype" w:hAnsi="Palatino Linotype"/>
                <w:i/>
                <w:color w:val="auto"/>
                <w:sz w:val="20"/>
                <w:szCs w:val="20"/>
                <w:lang w:val="en-GB"/>
              </w:rPr>
              <w:sym w:font="Wingdings" w:char="F0FC"/>
            </w:r>
          </w:p>
        </w:tc>
        <w:tc>
          <w:tcPr>
            <w:tcW w:w="2504" w:type="dxa"/>
          </w:tcPr>
          <w:p w:rsidR="00F430B9" w:rsidRPr="00AE5697" w:rsidRDefault="00F430B9" w:rsidP="00F430B9">
            <w:pPr>
              <w:spacing w:before="80" w:after="80"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Heading1Char"/>
                <w:rFonts w:ascii="Palatino Linotype" w:hAnsi="Palatino Linotype"/>
                <w:i/>
                <w:color w:val="auto"/>
                <w:sz w:val="20"/>
                <w:szCs w:val="20"/>
                <w:lang w:val="en-GB"/>
              </w:rPr>
            </w:pPr>
            <w:r w:rsidRPr="00AE5697">
              <w:rPr>
                <w:rStyle w:val="Heading1Char"/>
                <w:rFonts w:ascii="Palatino Linotype" w:hAnsi="Palatino Linotype"/>
                <w:i/>
                <w:color w:val="auto"/>
                <w:sz w:val="20"/>
                <w:szCs w:val="20"/>
                <w:lang w:val="en-GB"/>
              </w:rPr>
              <w:sym w:font="Wingdings" w:char="F0FC"/>
            </w:r>
          </w:p>
        </w:tc>
        <w:tc>
          <w:tcPr>
            <w:tcW w:w="2504" w:type="dxa"/>
          </w:tcPr>
          <w:p w:rsidR="00F430B9" w:rsidRPr="00AE5697" w:rsidRDefault="00F430B9" w:rsidP="00F430B9">
            <w:pPr>
              <w:spacing w:before="80" w:after="80"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Heading1Char"/>
                <w:rFonts w:ascii="Palatino Linotype" w:hAnsi="Palatino Linotype"/>
                <w:i/>
                <w:color w:val="auto"/>
                <w:sz w:val="20"/>
                <w:szCs w:val="20"/>
                <w:lang w:val="en-GB"/>
              </w:rPr>
            </w:pPr>
            <w:r w:rsidRPr="00AE5697">
              <w:rPr>
                <w:rStyle w:val="Heading1Char"/>
                <w:rFonts w:ascii="Palatino Linotype" w:hAnsi="Palatino Linotype"/>
                <w:i/>
                <w:color w:val="auto"/>
                <w:sz w:val="20"/>
                <w:szCs w:val="20"/>
                <w:lang w:val="en-GB"/>
              </w:rPr>
              <w:sym w:font="Wingdings" w:char="F0FC"/>
            </w:r>
          </w:p>
        </w:tc>
      </w:tr>
      <w:tr w:rsidR="00F430B9" w:rsidRPr="002D50EE" w:rsidTr="002B3DA2">
        <w:trPr>
          <w:trHeight w:val="184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35" w:type="dxa"/>
            <w:vMerge/>
          </w:tcPr>
          <w:p w:rsidR="00F430B9" w:rsidRPr="00AE5697" w:rsidRDefault="00F430B9" w:rsidP="00F430B9">
            <w:pPr>
              <w:spacing w:before="80" w:after="80" w:line="276" w:lineRule="auto"/>
              <w:rPr>
                <w:rStyle w:val="Heading1Char"/>
                <w:rFonts w:ascii="Palatino Linotype" w:hAnsi="Palatino Linotype"/>
                <w:i/>
                <w:color w:val="auto"/>
                <w:sz w:val="22"/>
                <w:szCs w:val="22"/>
                <w:lang w:val="en-GB"/>
              </w:rPr>
            </w:pPr>
          </w:p>
        </w:tc>
        <w:tc>
          <w:tcPr>
            <w:tcW w:w="2504" w:type="dxa"/>
          </w:tcPr>
          <w:p w:rsidR="00F430B9" w:rsidRDefault="002D50EE" w:rsidP="002D50EE">
            <w:pPr>
              <w:spacing w:before="80" w:after="8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Heading1Char"/>
                <w:rFonts w:ascii="Palatino Linotype" w:hAnsi="Palatino Linotype"/>
                <w:b w:val="0"/>
                <w:color w:val="auto"/>
                <w:sz w:val="20"/>
                <w:szCs w:val="20"/>
                <w:lang w:val="en-US"/>
              </w:rPr>
            </w:pPr>
            <w:r w:rsidRPr="002D50EE">
              <w:rPr>
                <w:rStyle w:val="Heading1Char"/>
                <w:rFonts w:ascii="Palatino Linotype" w:hAnsi="Palatino Linotype"/>
                <w:b w:val="0"/>
                <w:color w:val="auto"/>
                <w:sz w:val="20"/>
                <w:szCs w:val="20"/>
                <w:lang w:val="en-US"/>
              </w:rPr>
              <w:t>Contingent valuation and cost</w:t>
            </w:r>
            <w:r>
              <w:rPr>
                <w:rStyle w:val="Heading1Char"/>
                <w:rFonts w:ascii="Palatino Linotype" w:hAnsi="Palatino Linotype"/>
                <w:b w:val="0"/>
                <w:color w:val="auto"/>
                <w:sz w:val="20"/>
                <w:szCs w:val="20"/>
                <w:lang w:val="en-US"/>
              </w:rPr>
              <w:t>-</w:t>
            </w:r>
            <w:r w:rsidRPr="002D50EE">
              <w:rPr>
                <w:rStyle w:val="Heading1Char"/>
                <w:rFonts w:ascii="Palatino Linotype" w:hAnsi="Palatino Linotype"/>
                <w:b w:val="0"/>
                <w:color w:val="auto"/>
                <w:sz w:val="20"/>
                <w:szCs w:val="20"/>
                <w:lang w:val="en-US"/>
              </w:rPr>
              <w:t>benefit</w:t>
            </w:r>
            <w:r>
              <w:rPr>
                <w:rStyle w:val="Heading1Char"/>
                <w:rFonts w:ascii="Palatino Linotype" w:hAnsi="Palatino Linotype"/>
                <w:b w:val="0"/>
                <w:color w:val="auto"/>
                <w:sz w:val="20"/>
                <w:szCs w:val="20"/>
                <w:lang w:val="en-US"/>
              </w:rPr>
              <w:t xml:space="preserve"> </w:t>
            </w:r>
            <w:r w:rsidRPr="002D50EE">
              <w:rPr>
                <w:rStyle w:val="Heading1Char"/>
                <w:rFonts w:ascii="Palatino Linotype" w:hAnsi="Palatino Linotype"/>
                <w:b w:val="0"/>
                <w:color w:val="auto"/>
                <w:sz w:val="20"/>
                <w:szCs w:val="20"/>
                <w:lang w:val="en-US"/>
              </w:rPr>
              <w:t>analysis</w:t>
            </w:r>
            <w:r>
              <w:rPr>
                <w:rStyle w:val="Heading1Char"/>
                <w:rFonts w:ascii="Palatino Linotype" w:hAnsi="Palatino Linotype"/>
                <w:b w:val="0"/>
                <w:color w:val="auto"/>
                <w:sz w:val="20"/>
                <w:szCs w:val="20"/>
                <w:lang w:val="en-US"/>
              </w:rPr>
              <w:t>.</w:t>
            </w:r>
          </w:p>
          <w:p w:rsidR="002D50EE" w:rsidRPr="00AE5697" w:rsidRDefault="002619E0" w:rsidP="002D50EE">
            <w:pPr>
              <w:spacing w:before="80" w:after="8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Heading1Char"/>
                <w:rFonts w:ascii="Palatino Linotype" w:hAnsi="Palatino Linotype"/>
                <w:b w:val="0"/>
                <w:color w:val="auto"/>
                <w:sz w:val="20"/>
                <w:szCs w:val="20"/>
                <w:lang w:val="en-GB"/>
              </w:rPr>
            </w:pPr>
            <w:r>
              <w:rPr>
                <w:rStyle w:val="Heading1Char"/>
                <w:rFonts w:ascii="Palatino Linotype" w:hAnsi="Palatino Linotype"/>
                <w:b w:val="0"/>
                <w:color w:val="auto"/>
                <w:sz w:val="20"/>
                <w:szCs w:val="20"/>
                <w:lang w:val="en-GB"/>
              </w:rPr>
              <w:t>Introduction of measures of</w:t>
            </w:r>
            <w:r w:rsidR="002D50EE" w:rsidRPr="002D50EE">
              <w:rPr>
                <w:rStyle w:val="Heading1Char"/>
                <w:rFonts w:ascii="Palatino Linotype" w:hAnsi="Palatino Linotype"/>
                <w:b w:val="0"/>
                <w:color w:val="auto"/>
                <w:sz w:val="20"/>
                <w:szCs w:val="20"/>
                <w:lang w:val="en-GB"/>
              </w:rPr>
              <w:t xml:space="preserve"> non-use values and welfare economics</w:t>
            </w:r>
            <w:r w:rsidR="002D50EE">
              <w:rPr>
                <w:rStyle w:val="Heading1Char"/>
                <w:rFonts w:ascii="Palatino Linotype" w:hAnsi="Palatino Linotype"/>
                <w:b w:val="0"/>
                <w:color w:val="auto"/>
                <w:sz w:val="20"/>
                <w:szCs w:val="20"/>
                <w:lang w:val="en-GB"/>
              </w:rPr>
              <w:t xml:space="preserve">. </w:t>
            </w:r>
          </w:p>
        </w:tc>
        <w:tc>
          <w:tcPr>
            <w:tcW w:w="2504" w:type="dxa"/>
          </w:tcPr>
          <w:p w:rsidR="00F430B9" w:rsidRPr="00AE5697" w:rsidRDefault="002619E0" w:rsidP="000602E5">
            <w:pPr>
              <w:spacing w:before="80" w:after="80" w:line="276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Heading1Char"/>
                <w:rFonts w:ascii="Palatino Linotype" w:hAnsi="Palatino Linotype"/>
                <w:b w:val="0"/>
                <w:color w:val="auto"/>
                <w:sz w:val="20"/>
                <w:szCs w:val="20"/>
                <w:lang w:val="en-GB"/>
              </w:rPr>
            </w:pPr>
            <w:r>
              <w:rPr>
                <w:rStyle w:val="Heading1Char"/>
                <w:rFonts w:ascii="Palatino Linotype" w:hAnsi="Palatino Linotype"/>
                <w:b w:val="0"/>
                <w:color w:val="auto"/>
                <w:sz w:val="20"/>
                <w:szCs w:val="20"/>
                <w:lang w:val="en-GB"/>
              </w:rPr>
              <w:t>Qualitative and quantitative vulnerability assessment; monetary evaluation (expressed preference and inferential approaches).</w:t>
            </w:r>
          </w:p>
        </w:tc>
        <w:tc>
          <w:tcPr>
            <w:tcW w:w="2504" w:type="dxa"/>
          </w:tcPr>
          <w:p w:rsidR="00F430B9" w:rsidRPr="006265A9" w:rsidRDefault="002D50EE" w:rsidP="002619E0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Heading1Char"/>
                <w:rFonts w:ascii="Palatino Linotype" w:hAnsi="Palatino Linotype"/>
                <w:b w:val="0"/>
                <w:color w:val="auto"/>
                <w:sz w:val="20"/>
                <w:szCs w:val="20"/>
                <w:lang w:val="en-GB"/>
              </w:rPr>
            </w:pPr>
            <w:r>
              <w:rPr>
                <w:rStyle w:val="Heading1Char"/>
                <w:rFonts w:ascii="Palatino Linotype" w:hAnsi="Palatino Linotype"/>
                <w:b w:val="0"/>
                <w:color w:val="auto"/>
                <w:sz w:val="20"/>
                <w:szCs w:val="20"/>
                <w:lang w:val="en-GB"/>
              </w:rPr>
              <w:t>Di</w:t>
            </w:r>
            <w:r w:rsidR="002619E0">
              <w:rPr>
                <w:rStyle w:val="Heading1Char"/>
                <w:rFonts w:ascii="Palatino Linotype" w:hAnsi="Palatino Linotype"/>
                <w:b w:val="0"/>
                <w:color w:val="auto"/>
                <w:sz w:val="20"/>
                <w:szCs w:val="20"/>
                <w:lang w:val="en-GB"/>
              </w:rPr>
              <w:t xml:space="preserve">rect impacts assessed through </w:t>
            </w:r>
            <w:r>
              <w:rPr>
                <w:rStyle w:val="Heading1Char"/>
                <w:rFonts w:ascii="Palatino Linotype" w:hAnsi="Palatino Linotype"/>
                <w:b w:val="0"/>
                <w:color w:val="auto"/>
                <w:sz w:val="20"/>
                <w:szCs w:val="20"/>
                <w:lang w:val="en-GB"/>
              </w:rPr>
              <w:t>geo-referenced analysis of flood extent</w:t>
            </w:r>
            <w:r w:rsidR="002619E0">
              <w:rPr>
                <w:rStyle w:val="Heading1Char"/>
                <w:rFonts w:ascii="Palatino Linotype" w:hAnsi="Palatino Linotype"/>
                <w:b w:val="0"/>
                <w:color w:val="auto"/>
                <w:sz w:val="20"/>
                <w:szCs w:val="20"/>
                <w:lang w:val="en-GB"/>
              </w:rPr>
              <w:t xml:space="preserve">, land use and damage functions. Indirect impacts assessment at micro, </w:t>
            </w:r>
            <w:proofErr w:type="spellStart"/>
            <w:r w:rsidR="002619E0">
              <w:rPr>
                <w:rStyle w:val="Heading1Char"/>
                <w:rFonts w:ascii="Palatino Linotype" w:hAnsi="Palatino Linotype"/>
                <w:b w:val="0"/>
                <w:color w:val="auto"/>
                <w:sz w:val="20"/>
                <w:szCs w:val="20"/>
                <w:lang w:val="en-GB"/>
              </w:rPr>
              <w:t>meso</w:t>
            </w:r>
            <w:proofErr w:type="spellEnd"/>
            <w:r w:rsidR="002619E0">
              <w:rPr>
                <w:rStyle w:val="Heading1Char"/>
                <w:rFonts w:ascii="Palatino Linotype" w:hAnsi="Palatino Linotype"/>
                <w:b w:val="0"/>
                <w:color w:val="auto"/>
                <w:sz w:val="20"/>
                <w:szCs w:val="20"/>
                <w:lang w:val="en-GB"/>
              </w:rPr>
              <w:t xml:space="preserve"> and macro scale.</w:t>
            </w:r>
          </w:p>
        </w:tc>
      </w:tr>
      <w:tr w:rsidR="00F430B9" w:rsidRPr="00AE5697" w:rsidTr="00F430B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35" w:type="dxa"/>
            <w:vMerge/>
          </w:tcPr>
          <w:p w:rsidR="00F430B9" w:rsidRPr="00AE5697" w:rsidRDefault="00F430B9" w:rsidP="00F430B9">
            <w:pPr>
              <w:spacing w:before="80" w:after="80" w:line="276" w:lineRule="auto"/>
              <w:rPr>
                <w:rStyle w:val="Heading1Char"/>
                <w:rFonts w:ascii="Palatino Linotype" w:hAnsi="Palatino Linotype"/>
                <w:i/>
                <w:color w:val="auto"/>
                <w:sz w:val="22"/>
                <w:szCs w:val="22"/>
                <w:lang w:val="en-US"/>
              </w:rPr>
            </w:pPr>
          </w:p>
        </w:tc>
        <w:tc>
          <w:tcPr>
            <w:tcW w:w="2504" w:type="dxa"/>
          </w:tcPr>
          <w:p w:rsidR="00F430B9" w:rsidRPr="00045A91" w:rsidRDefault="00F430B9" w:rsidP="00AD09BD">
            <w:pPr>
              <w:spacing w:before="80" w:after="80"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Heading1Char"/>
                <w:rFonts w:ascii="Palatino Linotype" w:eastAsia="Calibri" w:hAnsi="Palatino Linotype" w:cs="Times New Roman"/>
                <w:b w:val="0"/>
                <w:i/>
                <w:color w:val="auto"/>
                <w:sz w:val="20"/>
                <w:szCs w:val="20"/>
                <w:lang w:val="en-GB"/>
              </w:rPr>
            </w:pPr>
            <w:r w:rsidRPr="00045A91">
              <w:rPr>
                <w:rStyle w:val="Heading1Char"/>
                <w:rFonts w:ascii="Palatino Linotype" w:eastAsia="Calibri" w:hAnsi="Palatino Linotype" w:cs="Times New Roman"/>
                <w:b w:val="0"/>
                <w:i/>
                <w:color w:val="auto"/>
                <w:sz w:val="20"/>
                <w:szCs w:val="20"/>
                <w:lang w:val="en-GB"/>
              </w:rPr>
              <w:t>Direct - Indirect</w:t>
            </w:r>
          </w:p>
        </w:tc>
        <w:tc>
          <w:tcPr>
            <w:tcW w:w="2504" w:type="dxa"/>
          </w:tcPr>
          <w:p w:rsidR="00F430B9" w:rsidRPr="00045A91" w:rsidRDefault="00F430B9" w:rsidP="00AD09BD">
            <w:pPr>
              <w:spacing w:before="80" w:after="80"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Heading1Char"/>
                <w:rFonts w:ascii="Palatino Linotype" w:eastAsia="Calibri" w:hAnsi="Palatino Linotype" w:cs="Times New Roman"/>
                <w:b w:val="0"/>
                <w:i/>
                <w:color w:val="auto"/>
                <w:sz w:val="20"/>
                <w:szCs w:val="20"/>
                <w:lang w:val="en-GB"/>
              </w:rPr>
            </w:pPr>
            <w:r w:rsidRPr="00045A91">
              <w:rPr>
                <w:rStyle w:val="Heading1Char"/>
                <w:rFonts w:ascii="Palatino Linotype" w:eastAsia="Calibri" w:hAnsi="Palatino Linotype" w:cs="Times New Roman"/>
                <w:b w:val="0"/>
                <w:i/>
                <w:color w:val="auto"/>
                <w:sz w:val="20"/>
                <w:szCs w:val="20"/>
                <w:lang w:val="en-GB"/>
              </w:rPr>
              <w:t>Direct - Indirect</w:t>
            </w:r>
          </w:p>
        </w:tc>
        <w:tc>
          <w:tcPr>
            <w:tcW w:w="2504" w:type="dxa"/>
          </w:tcPr>
          <w:p w:rsidR="00F430B9" w:rsidRPr="00045A91" w:rsidRDefault="00F430B9" w:rsidP="00AD09BD">
            <w:pPr>
              <w:spacing w:before="80" w:after="80"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Heading1Char"/>
                <w:rFonts w:ascii="Palatino Linotype" w:eastAsia="Calibri" w:hAnsi="Palatino Linotype" w:cs="Times New Roman"/>
                <w:b w:val="0"/>
                <w:i/>
                <w:color w:val="auto"/>
                <w:sz w:val="20"/>
                <w:szCs w:val="20"/>
                <w:lang w:val="en-GB"/>
              </w:rPr>
            </w:pPr>
            <w:r w:rsidRPr="00045A91">
              <w:rPr>
                <w:rStyle w:val="Heading1Char"/>
                <w:rFonts w:ascii="Palatino Linotype" w:eastAsia="Calibri" w:hAnsi="Palatino Linotype" w:cs="Times New Roman"/>
                <w:b w:val="0"/>
                <w:i/>
                <w:color w:val="auto"/>
                <w:sz w:val="20"/>
                <w:szCs w:val="20"/>
                <w:lang w:val="en-GB"/>
              </w:rPr>
              <w:t>Direct - Indirect</w:t>
            </w:r>
          </w:p>
        </w:tc>
      </w:tr>
      <w:tr w:rsidR="00045A91" w:rsidRPr="00AE5697" w:rsidTr="00F430B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35" w:type="dxa"/>
            <w:vMerge/>
          </w:tcPr>
          <w:p w:rsidR="00045A91" w:rsidRPr="00AE5697" w:rsidRDefault="00045A91" w:rsidP="00F430B9">
            <w:pPr>
              <w:spacing w:before="80" w:after="80" w:line="276" w:lineRule="auto"/>
              <w:rPr>
                <w:rStyle w:val="Heading1Char"/>
                <w:rFonts w:ascii="Palatino Linotype" w:hAnsi="Palatino Linotype"/>
                <w:i/>
                <w:color w:val="auto"/>
                <w:sz w:val="22"/>
                <w:szCs w:val="22"/>
                <w:lang w:val="en-GB"/>
              </w:rPr>
            </w:pPr>
          </w:p>
        </w:tc>
        <w:tc>
          <w:tcPr>
            <w:tcW w:w="2504" w:type="dxa"/>
          </w:tcPr>
          <w:p w:rsidR="00045A91" w:rsidRPr="00045A91" w:rsidRDefault="00045A91" w:rsidP="0086771A">
            <w:pPr>
              <w:spacing w:before="80" w:after="8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Heading1Char"/>
                <w:rFonts w:ascii="Palatino Linotype" w:eastAsia="Calibri" w:hAnsi="Palatino Linotype" w:cs="Times New Roman"/>
                <w:i/>
                <w:color w:val="auto"/>
                <w:sz w:val="20"/>
                <w:szCs w:val="20"/>
                <w:lang w:val="en-GB"/>
              </w:rPr>
            </w:pPr>
            <w:r w:rsidRPr="00045A91">
              <w:rPr>
                <w:rStyle w:val="Heading1Char"/>
                <w:rFonts w:ascii="Palatino Linotype" w:eastAsia="Calibri" w:hAnsi="Palatino Linotype" w:cs="Times New Roman"/>
                <w:b w:val="0"/>
                <w:i/>
                <w:color w:val="auto"/>
                <w:sz w:val="20"/>
                <w:szCs w:val="20"/>
                <w:lang w:val="en-GB"/>
              </w:rPr>
              <w:t>Tangible</w:t>
            </w:r>
          </w:p>
        </w:tc>
        <w:tc>
          <w:tcPr>
            <w:tcW w:w="2504" w:type="dxa"/>
          </w:tcPr>
          <w:p w:rsidR="00045A91" w:rsidRPr="00045A91" w:rsidRDefault="00045A91" w:rsidP="00045A91">
            <w:pPr>
              <w:spacing w:before="80" w:after="8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Heading1Char"/>
                <w:rFonts w:ascii="Palatino Linotype" w:eastAsia="Calibri" w:hAnsi="Palatino Linotype" w:cs="Times New Roman"/>
                <w:i/>
                <w:color w:val="auto"/>
                <w:sz w:val="20"/>
                <w:szCs w:val="20"/>
                <w:lang w:val="en-GB"/>
              </w:rPr>
            </w:pPr>
            <w:r w:rsidRPr="00045A91">
              <w:rPr>
                <w:rStyle w:val="Heading1Char"/>
                <w:rFonts w:ascii="Palatino Linotype" w:eastAsia="Calibri" w:hAnsi="Palatino Linotype" w:cs="Times New Roman"/>
                <w:b w:val="0"/>
                <w:i/>
                <w:color w:val="auto"/>
                <w:sz w:val="20"/>
                <w:szCs w:val="20"/>
                <w:lang w:val="en-GB"/>
              </w:rPr>
              <w:t>Tangible - Intangible</w:t>
            </w:r>
          </w:p>
        </w:tc>
        <w:tc>
          <w:tcPr>
            <w:tcW w:w="2504" w:type="dxa"/>
          </w:tcPr>
          <w:p w:rsidR="00045A91" w:rsidRPr="00045A91" w:rsidRDefault="00045A91" w:rsidP="0086771A">
            <w:pPr>
              <w:spacing w:before="80" w:after="8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Heading1Char"/>
                <w:rFonts w:ascii="Palatino Linotype" w:eastAsia="Calibri" w:hAnsi="Palatino Linotype" w:cs="Times New Roman"/>
                <w:i/>
                <w:color w:val="auto"/>
                <w:sz w:val="20"/>
                <w:szCs w:val="20"/>
                <w:lang w:val="en-GB"/>
              </w:rPr>
            </w:pPr>
            <w:r w:rsidRPr="00045A91">
              <w:rPr>
                <w:rStyle w:val="Heading1Char"/>
                <w:rFonts w:ascii="Palatino Linotype" w:eastAsia="Calibri" w:hAnsi="Palatino Linotype" w:cs="Times New Roman"/>
                <w:b w:val="0"/>
                <w:i/>
                <w:color w:val="auto"/>
                <w:sz w:val="20"/>
                <w:szCs w:val="20"/>
                <w:lang w:val="en-GB"/>
              </w:rPr>
              <w:t>Tangible</w:t>
            </w:r>
            <w:bookmarkStart w:id="0" w:name="_GoBack"/>
            <w:bookmarkEnd w:id="0"/>
          </w:p>
        </w:tc>
      </w:tr>
    </w:tbl>
    <w:tbl>
      <w:tblPr>
        <w:tblStyle w:val="TableGrid"/>
        <w:tblW w:w="97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09"/>
        <w:gridCol w:w="7938"/>
      </w:tblGrid>
      <w:tr w:rsidR="00E302BE" w:rsidRPr="00AE5697" w:rsidTr="00AE5697">
        <w:trPr>
          <w:trHeight w:val="626"/>
        </w:trPr>
        <w:tc>
          <w:tcPr>
            <w:tcW w:w="1809" w:type="dxa"/>
          </w:tcPr>
          <w:p w:rsidR="00E302BE" w:rsidRPr="00AE5697" w:rsidRDefault="00E302BE" w:rsidP="00AD09BD">
            <w:pPr>
              <w:spacing w:before="80" w:after="80" w:line="276" w:lineRule="auto"/>
              <w:rPr>
                <w:rStyle w:val="Heading1Char"/>
                <w:rFonts w:ascii="Palatino Linotype" w:hAnsi="Palatino Linotype"/>
                <w:i/>
                <w:color w:val="auto"/>
                <w:sz w:val="22"/>
                <w:szCs w:val="22"/>
                <w:lang w:val="en-GB"/>
              </w:rPr>
            </w:pPr>
            <w:r w:rsidRPr="00AE5697">
              <w:rPr>
                <w:rStyle w:val="Heading1Char"/>
                <w:rFonts w:ascii="Palatino Linotype" w:hAnsi="Palatino Linotype"/>
                <w:i/>
                <w:color w:val="auto"/>
                <w:sz w:val="22"/>
                <w:szCs w:val="22"/>
                <w:lang w:val="en-GB"/>
              </w:rPr>
              <w:t xml:space="preserve">Case Studies </w:t>
            </w:r>
          </w:p>
        </w:tc>
        <w:tc>
          <w:tcPr>
            <w:tcW w:w="7938" w:type="dxa"/>
          </w:tcPr>
          <w:p w:rsidR="00E302BE" w:rsidRPr="00AE5697" w:rsidRDefault="00771CDF" w:rsidP="00AB670E">
            <w:pPr>
              <w:spacing w:before="80" w:after="80" w:line="276" w:lineRule="auto"/>
              <w:jc w:val="both"/>
              <w:rPr>
                <w:rStyle w:val="Heading1Char"/>
                <w:rFonts w:ascii="Palatino Linotype" w:hAnsi="Palatino Linotype"/>
                <w:b w:val="0"/>
                <w:color w:val="auto"/>
                <w:sz w:val="22"/>
                <w:szCs w:val="22"/>
                <w:lang w:val="en-GB"/>
              </w:rPr>
            </w:pPr>
            <w:r w:rsidRPr="00AE5697">
              <w:rPr>
                <w:rStyle w:val="Heading1Char"/>
                <w:rFonts w:ascii="Palatino Linotype" w:hAnsi="Palatino Linotype"/>
                <w:b w:val="0"/>
                <w:color w:val="auto"/>
                <w:sz w:val="22"/>
                <w:szCs w:val="22"/>
                <w:lang w:val="en-GB"/>
              </w:rPr>
              <w:t xml:space="preserve">No </w:t>
            </w:r>
          </w:p>
        </w:tc>
      </w:tr>
      <w:tr w:rsidR="00E302BE" w:rsidRPr="00045A91" w:rsidTr="006265A9">
        <w:trPr>
          <w:trHeight w:val="647"/>
        </w:trPr>
        <w:tc>
          <w:tcPr>
            <w:tcW w:w="1809" w:type="dxa"/>
          </w:tcPr>
          <w:p w:rsidR="00E302BE" w:rsidRPr="00AE5697" w:rsidRDefault="00E302BE" w:rsidP="00AD09BD">
            <w:pPr>
              <w:spacing w:before="80" w:after="80" w:line="276" w:lineRule="auto"/>
              <w:rPr>
                <w:rStyle w:val="Heading1Char"/>
                <w:rFonts w:ascii="Palatino Linotype" w:hAnsi="Palatino Linotype"/>
                <w:i/>
                <w:color w:val="auto"/>
                <w:sz w:val="22"/>
                <w:szCs w:val="22"/>
                <w:lang w:val="en-GB"/>
              </w:rPr>
            </w:pPr>
            <w:r w:rsidRPr="00AE5697">
              <w:rPr>
                <w:rStyle w:val="Heading1Char"/>
                <w:rFonts w:ascii="Palatino Linotype" w:hAnsi="Palatino Linotype"/>
                <w:i/>
                <w:color w:val="auto"/>
                <w:sz w:val="22"/>
                <w:szCs w:val="22"/>
                <w:lang w:val="en-GB"/>
              </w:rPr>
              <w:t>Uncertainty</w:t>
            </w:r>
          </w:p>
        </w:tc>
        <w:tc>
          <w:tcPr>
            <w:tcW w:w="7938" w:type="dxa"/>
          </w:tcPr>
          <w:p w:rsidR="00AE5697" w:rsidRPr="006A5C6E" w:rsidRDefault="006A5C6E" w:rsidP="00C0376C">
            <w:pPr>
              <w:autoSpaceDE w:val="0"/>
              <w:autoSpaceDN w:val="0"/>
              <w:adjustRightInd w:val="0"/>
              <w:jc w:val="both"/>
              <w:rPr>
                <w:rStyle w:val="Heading1Char"/>
                <w:rFonts w:ascii="Palatino Linotype" w:hAnsi="Palatino Linotype"/>
                <w:b w:val="0"/>
                <w:color w:val="auto"/>
                <w:sz w:val="22"/>
                <w:szCs w:val="22"/>
                <w:lang w:val="en-GB"/>
              </w:rPr>
            </w:pPr>
            <w:r w:rsidRPr="006A5C6E">
              <w:rPr>
                <w:rStyle w:val="Heading1Char"/>
                <w:rFonts w:ascii="Palatino Linotype" w:hAnsi="Palatino Linotype"/>
                <w:b w:val="0"/>
                <w:color w:val="auto"/>
                <w:sz w:val="22"/>
                <w:szCs w:val="22"/>
                <w:lang w:val="en-GB"/>
              </w:rPr>
              <w:t xml:space="preserve">The assessment of flood damages imports uncertainties from the </w:t>
            </w:r>
            <w:r>
              <w:rPr>
                <w:rStyle w:val="Heading1Char"/>
                <w:rFonts w:ascii="Palatino Linotype" w:hAnsi="Palatino Linotype"/>
                <w:b w:val="0"/>
                <w:color w:val="auto"/>
                <w:sz w:val="22"/>
                <w:szCs w:val="22"/>
                <w:lang w:val="en-GB"/>
              </w:rPr>
              <w:t>c</w:t>
            </w:r>
            <w:r w:rsidRPr="006A5C6E">
              <w:rPr>
                <w:rStyle w:val="Heading1Char"/>
                <w:rFonts w:ascii="Palatino Linotype" w:hAnsi="Palatino Linotype"/>
                <w:b w:val="0"/>
                <w:color w:val="auto"/>
                <w:sz w:val="22"/>
                <w:szCs w:val="22"/>
                <w:lang w:val="en-GB"/>
              </w:rPr>
              <w:t>limatic/</w:t>
            </w:r>
            <w:r>
              <w:rPr>
                <w:rStyle w:val="Heading1Char"/>
                <w:rFonts w:ascii="Palatino Linotype" w:hAnsi="Palatino Linotype"/>
                <w:b w:val="0"/>
                <w:color w:val="auto"/>
                <w:sz w:val="22"/>
                <w:szCs w:val="22"/>
                <w:lang w:val="en-GB"/>
              </w:rPr>
              <w:t xml:space="preserve"> </w:t>
            </w:r>
            <w:r w:rsidRPr="006A5C6E">
              <w:rPr>
                <w:rStyle w:val="Heading1Char"/>
                <w:rFonts w:ascii="Palatino Linotype" w:hAnsi="Palatino Linotype"/>
                <w:b w:val="0"/>
                <w:color w:val="auto"/>
                <w:sz w:val="22"/>
                <w:szCs w:val="22"/>
                <w:lang w:val="en-GB"/>
              </w:rPr>
              <w:t>hydrological/</w:t>
            </w:r>
            <w:r>
              <w:rPr>
                <w:rStyle w:val="Heading1Char"/>
                <w:rFonts w:ascii="Palatino Linotype" w:hAnsi="Palatino Linotype"/>
                <w:b w:val="0"/>
                <w:color w:val="auto"/>
                <w:sz w:val="22"/>
                <w:szCs w:val="22"/>
                <w:lang w:val="en-GB"/>
              </w:rPr>
              <w:t xml:space="preserve"> </w:t>
            </w:r>
            <w:r w:rsidRPr="006A5C6E">
              <w:rPr>
                <w:rStyle w:val="Heading1Char"/>
                <w:rFonts w:ascii="Palatino Linotype" w:hAnsi="Palatino Linotype"/>
                <w:b w:val="0"/>
                <w:color w:val="auto"/>
                <w:sz w:val="22"/>
                <w:szCs w:val="22"/>
                <w:lang w:val="en-GB"/>
              </w:rPr>
              <w:t>hydraulic</w:t>
            </w:r>
            <w:r>
              <w:rPr>
                <w:rStyle w:val="Heading1Char"/>
                <w:rFonts w:ascii="Palatino Linotype" w:hAnsi="Palatino Linotype"/>
                <w:b w:val="0"/>
                <w:color w:val="auto"/>
                <w:sz w:val="22"/>
                <w:szCs w:val="22"/>
                <w:lang w:val="en-GB"/>
              </w:rPr>
              <w:t xml:space="preserve"> </w:t>
            </w:r>
            <w:r w:rsidRPr="006A5C6E">
              <w:rPr>
                <w:rStyle w:val="Heading1Char"/>
                <w:rFonts w:ascii="Palatino Linotype" w:hAnsi="Palatino Linotype"/>
                <w:b w:val="0"/>
                <w:color w:val="auto"/>
                <w:sz w:val="22"/>
                <w:szCs w:val="22"/>
                <w:lang w:val="en-GB"/>
              </w:rPr>
              <w:t>domain, adds some of its own uncertainties</w:t>
            </w:r>
            <w:r>
              <w:rPr>
                <w:rStyle w:val="Heading1Char"/>
                <w:rFonts w:ascii="Palatino Linotype" w:hAnsi="Palatino Linotype"/>
                <w:b w:val="0"/>
                <w:color w:val="auto"/>
                <w:sz w:val="22"/>
                <w:szCs w:val="22"/>
                <w:lang w:val="en-GB"/>
              </w:rPr>
              <w:t xml:space="preserve"> (knowledge uncertainty)</w:t>
            </w:r>
            <w:r w:rsidRPr="006A5C6E">
              <w:rPr>
                <w:rStyle w:val="Heading1Char"/>
                <w:rFonts w:ascii="Palatino Linotype" w:hAnsi="Palatino Linotype"/>
                <w:b w:val="0"/>
                <w:color w:val="auto"/>
                <w:sz w:val="22"/>
                <w:szCs w:val="22"/>
                <w:lang w:val="en-GB"/>
              </w:rPr>
              <w:t xml:space="preserve">, and </w:t>
            </w:r>
            <w:r>
              <w:rPr>
                <w:rStyle w:val="Heading1Char"/>
                <w:rFonts w:ascii="Palatino Linotype" w:hAnsi="Palatino Linotype"/>
                <w:b w:val="0"/>
                <w:color w:val="auto"/>
                <w:sz w:val="22"/>
                <w:szCs w:val="22"/>
                <w:lang w:val="en-GB"/>
              </w:rPr>
              <w:t>exports</w:t>
            </w:r>
            <w:r w:rsidRPr="006A5C6E">
              <w:rPr>
                <w:rStyle w:val="Heading1Char"/>
                <w:rFonts w:ascii="Palatino Linotype" w:hAnsi="Palatino Linotype"/>
                <w:b w:val="0"/>
                <w:color w:val="auto"/>
                <w:sz w:val="22"/>
                <w:szCs w:val="22"/>
                <w:lang w:val="en-GB"/>
              </w:rPr>
              <w:t xml:space="preserve"> the resulting composite uncertainties into the</w:t>
            </w:r>
            <w:r>
              <w:rPr>
                <w:rStyle w:val="Heading1Char"/>
                <w:rFonts w:ascii="Palatino Linotype" w:hAnsi="Palatino Linotype"/>
                <w:b w:val="0"/>
                <w:color w:val="auto"/>
                <w:sz w:val="22"/>
                <w:szCs w:val="22"/>
                <w:lang w:val="en-GB"/>
              </w:rPr>
              <w:t xml:space="preserve"> </w:t>
            </w:r>
            <w:r w:rsidRPr="006A5C6E">
              <w:rPr>
                <w:rStyle w:val="Heading1Char"/>
                <w:rFonts w:ascii="Palatino Linotype" w:hAnsi="Palatino Linotype"/>
                <w:b w:val="0"/>
                <w:color w:val="auto"/>
                <w:sz w:val="22"/>
                <w:szCs w:val="22"/>
                <w:lang w:val="en-GB"/>
              </w:rPr>
              <w:t>decision domain</w:t>
            </w:r>
            <w:r>
              <w:rPr>
                <w:rStyle w:val="Heading1Char"/>
                <w:rFonts w:ascii="Palatino Linotype" w:hAnsi="Palatino Linotype"/>
                <w:b w:val="0"/>
                <w:color w:val="auto"/>
                <w:sz w:val="22"/>
                <w:szCs w:val="22"/>
                <w:lang w:val="en-GB"/>
              </w:rPr>
              <w:t xml:space="preserve"> (decision uncertainty)</w:t>
            </w:r>
            <w:r w:rsidRPr="006A5C6E">
              <w:rPr>
                <w:rStyle w:val="Heading1Char"/>
                <w:rFonts w:ascii="Palatino Linotype" w:hAnsi="Palatino Linotype"/>
                <w:b w:val="0"/>
                <w:color w:val="auto"/>
                <w:sz w:val="22"/>
                <w:szCs w:val="22"/>
                <w:lang w:val="en-GB"/>
              </w:rPr>
              <w:t>.</w:t>
            </w:r>
            <w:r>
              <w:rPr>
                <w:rStyle w:val="Heading1Char"/>
                <w:rFonts w:ascii="Palatino Linotype" w:hAnsi="Palatino Linotype"/>
                <w:b w:val="0"/>
                <w:color w:val="auto"/>
                <w:sz w:val="22"/>
                <w:szCs w:val="22"/>
                <w:lang w:val="en-GB"/>
              </w:rPr>
              <w:t xml:space="preserve"> The two categories of uncertainty are discussed and treated wit</w:t>
            </w:r>
            <w:r w:rsidR="00C0376C">
              <w:rPr>
                <w:rStyle w:val="Heading1Char"/>
                <w:rFonts w:ascii="Palatino Linotype" w:hAnsi="Palatino Linotype"/>
                <w:b w:val="0"/>
                <w:color w:val="auto"/>
                <w:sz w:val="22"/>
                <w:szCs w:val="22"/>
                <w:lang w:val="en-GB"/>
              </w:rPr>
              <w:t>h methodologies provided by the detailed literature analysed.</w:t>
            </w:r>
          </w:p>
        </w:tc>
      </w:tr>
      <w:tr w:rsidR="00E302BE" w:rsidRPr="00AE5697" w:rsidTr="00AE5697">
        <w:trPr>
          <w:trHeight w:val="688"/>
        </w:trPr>
        <w:tc>
          <w:tcPr>
            <w:tcW w:w="1809" w:type="dxa"/>
          </w:tcPr>
          <w:p w:rsidR="00E302BE" w:rsidRPr="00AE5697" w:rsidRDefault="00E302BE" w:rsidP="00AD09BD">
            <w:pPr>
              <w:spacing w:before="80" w:after="80" w:line="276" w:lineRule="auto"/>
              <w:rPr>
                <w:rStyle w:val="Heading1Char"/>
                <w:rFonts w:ascii="Palatino Linotype" w:hAnsi="Palatino Linotype"/>
                <w:i/>
                <w:color w:val="auto"/>
                <w:sz w:val="22"/>
                <w:szCs w:val="22"/>
                <w:lang w:val="en-GB"/>
              </w:rPr>
            </w:pPr>
            <w:r w:rsidRPr="00AE5697">
              <w:rPr>
                <w:rStyle w:val="Heading1Char"/>
                <w:rFonts w:ascii="Palatino Linotype" w:hAnsi="Palatino Linotype"/>
                <w:i/>
                <w:color w:val="auto"/>
                <w:sz w:val="22"/>
                <w:szCs w:val="22"/>
                <w:lang w:val="en-GB"/>
              </w:rPr>
              <w:t xml:space="preserve">Climate Change </w:t>
            </w:r>
          </w:p>
        </w:tc>
        <w:tc>
          <w:tcPr>
            <w:tcW w:w="7938" w:type="dxa"/>
          </w:tcPr>
          <w:p w:rsidR="00E302BE" w:rsidRPr="00AE5697" w:rsidRDefault="00AE5697" w:rsidP="00AB670E">
            <w:pPr>
              <w:spacing w:before="80" w:after="80" w:line="276" w:lineRule="auto"/>
              <w:jc w:val="both"/>
              <w:rPr>
                <w:rStyle w:val="Heading1Char"/>
                <w:rFonts w:ascii="Palatino Linotype" w:hAnsi="Palatino Linotype"/>
                <w:b w:val="0"/>
                <w:color w:val="auto"/>
                <w:sz w:val="22"/>
                <w:szCs w:val="22"/>
                <w:lang w:val="en-GB"/>
              </w:rPr>
            </w:pPr>
            <w:r w:rsidRPr="00AE5697">
              <w:rPr>
                <w:rStyle w:val="Heading1Char"/>
                <w:rFonts w:ascii="Palatino Linotype" w:hAnsi="Palatino Linotype"/>
                <w:b w:val="0"/>
                <w:color w:val="auto"/>
                <w:sz w:val="22"/>
                <w:szCs w:val="22"/>
                <w:lang w:val="en-GB"/>
              </w:rPr>
              <w:t>No. The guidance is not specifically aimed at the assessment of climate change patterns. It is specifically focused on</w:t>
            </w:r>
            <w:r w:rsidR="00C0376C">
              <w:rPr>
                <w:rStyle w:val="Heading1Char"/>
                <w:rFonts w:ascii="Palatino Linotype" w:hAnsi="Palatino Linotype"/>
                <w:b w:val="0"/>
                <w:color w:val="auto"/>
                <w:sz w:val="22"/>
                <w:szCs w:val="22"/>
                <w:lang w:val="en-GB"/>
              </w:rPr>
              <w:t xml:space="preserve"> flood</w:t>
            </w:r>
            <w:r w:rsidRPr="00AE5697">
              <w:rPr>
                <w:rStyle w:val="Heading1Char"/>
                <w:rFonts w:ascii="Palatino Linotype" w:hAnsi="Palatino Linotype"/>
                <w:b w:val="0"/>
                <w:color w:val="auto"/>
                <w:sz w:val="22"/>
                <w:szCs w:val="22"/>
                <w:lang w:val="en-GB"/>
              </w:rPr>
              <w:t xml:space="preserve"> impact assessment.</w:t>
            </w:r>
          </w:p>
        </w:tc>
      </w:tr>
      <w:tr w:rsidR="00C6686B" w:rsidRPr="00803ABE" w:rsidTr="00AE5697">
        <w:trPr>
          <w:trHeight w:val="689"/>
        </w:trPr>
        <w:tc>
          <w:tcPr>
            <w:tcW w:w="1809" w:type="dxa"/>
          </w:tcPr>
          <w:p w:rsidR="00C6686B" w:rsidRPr="00AE5697" w:rsidRDefault="00AD09BD" w:rsidP="00F430B9">
            <w:pPr>
              <w:spacing w:before="80" w:after="80" w:line="276" w:lineRule="auto"/>
              <w:rPr>
                <w:rStyle w:val="Heading1Char"/>
                <w:rFonts w:ascii="Palatino Linotype" w:hAnsi="Palatino Linotype"/>
                <w:i/>
                <w:color w:val="auto"/>
                <w:sz w:val="22"/>
                <w:szCs w:val="22"/>
                <w:lang w:val="en-GB"/>
              </w:rPr>
            </w:pPr>
            <w:r w:rsidRPr="00AE5697">
              <w:rPr>
                <w:rStyle w:val="Heading1Char"/>
                <w:rFonts w:ascii="Palatino Linotype" w:hAnsi="Palatino Linotype"/>
                <w:i/>
                <w:color w:val="auto"/>
                <w:sz w:val="22"/>
                <w:szCs w:val="22"/>
                <w:lang w:val="en-GB"/>
              </w:rPr>
              <w:t>Flood</w:t>
            </w:r>
          </w:p>
        </w:tc>
        <w:tc>
          <w:tcPr>
            <w:tcW w:w="7938" w:type="dxa"/>
          </w:tcPr>
          <w:p w:rsidR="00C6686B" w:rsidRPr="00AE5697" w:rsidRDefault="00C0376C" w:rsidP="00AB670E">
            <w:pPr>
              <w:spacing w:before="80" w:after="80" w:line="276" w:lineRule="auto"/>
              <w:jc w:val="both"/>
              <w:rPr>
                <w:rStyle w:val="Heading1Char"/>
                <w:rFonts w:ascii="Palatino Linotype" w:hAnsi="Palatino Linotype"/>
                <w:b w:val="0"/>
                <w:color w:val="auto"/>
                <w:sz w:val="22"/>
                <w:szCs w:val="22"/>
                <w:lang w:val="en-GB"/>
              </w:rPr>
            </w:pPr>
            <w:r>
              <w:rPr>
                <w:rStyle w:val="Heading1Char"/>
                <w:rFonts w:ascii="Palatino Linotype" w:hAnsi="Palatino Linotype"/>
                <w:b w:val="0"/>
                <w:color w:val="auto"/>
                <w:sz w:val="22"/>
                <w:szCs w:val="22"/>
                <w:lang w:val="en-GB"/>
              </w:rPr>
              <w:t>Yes</w:t>
            </w:r>
          </w:p>
        </w:tc>
      </w:tr>
      <w:tr w:rsidR="00C6686B" w:rsidRPr="00045A91" w:rsidTr="00AE5697">
        <w:trPr>
          <w:trHeight w:val="302"/>
        </w:trPr>
        <w:tc>
          <w:tcPr>
            <w:tcW w:w="1809" w:type="dxa"/>
          </w:tcPr>
          <w:p w:rsidR="00C6686B" w:rsidRPr="00AE5697" w:rsidRDefault="00C6686B" w:rsidP="00F430B9">
            <w:pPr>
              <w:spacing w:before="80" w:after="80" w:line="276" w:lineRule="auto"/>
              <w:rPr>
                <w:rStyle w:val="Heading1Char"/>
                <w:rFonts w:ascii="Palatino Linotype" w:hAnsi="Palatino Linotype"/>
                <w:i/>
                <w:color w:val="auto"/>
                <w:sz w:val="22"/>
                <w:szCs w:val="22"/>
                <w:lang w:val="en-GB"/>
              </w:rPr>
            </w:pPr>
            <w:r w:rsidRPr="00AE5697">
              <w:rPr>
                <w:rStyle w:val="Heading1Char"/>
                <w:rFonts w:ascii="Palatino Linotype" w:hAnsi="Palatino Linotype"/>
                <w:i/>
                <w:color w:val="auto"/>
                <w:sz w:val="22"/>
                <w:szCs w:val="22"/>
                <w:lang w:val="en-GB"/>
              </w:rPr>
              <w:t>Data need</w:t>
            </w:r>
          </w:p>
        </w:tc>
        <w:tc>
          <w:tcPr>
            <w:tcW w:w="7938" w:type="dxa"/>
          </w:tcPr>
          <w:p w:rsidR="00C6686B" w:rsidRPr="002D50EE" w:rsidRDefault="002D50EE" w:rsidP="006265A9">
            <w:pPr>
              <w:spacing w:before="80" w:after="80"/>
              <w:jc w:val="both"/>
              <w:rPr>
                <w:rStyle w:val="Heading1Char"/>
                <w:rFonts w:ascii="Palatino Linotype" w:hAnsi="Palatino Linotype"/>
                <w:b w:val="0"/>
                <w:color w:val="auto"/>
                <w:sz w:val="22"/>
                <w:szCs w:val="22"/>
                <w:lang w:val="en-GB"/>
              </w:rPr>
            </w:pPr>
            <w:r w:rsidRPr="002D50EE">
              <w:rPr>
                <w:rStyle w:val="Heading1Char"/>
                <w:rFonts w:ascii="Palatino Linotype" w:hAnsi="Palatino Linotype"/>
                <w:b w:val="0"/>
                <w:color w:val="auto"/>
                <w:sz w:val="22"/>
                <w:szCs w:val="22"/>
                <w:lang w:val="en-GB"/>
              </w:rPr>
              <w:t>Inundation characteristics</w:t>
            </w:r>
            <w:r>
              <w:rPr>
                <w:rStyle w:val="Heading1Char"/>
                <w:rFonts w:ascii="Palatino Linotype" w:hAnsi="Palatino Linotype"/>
                <w:b w:val="0"/>
                <w:color w:val="auto"/>
                <w:sz w:val="22"/>
                <w:szCs w:val="22"/>
                <w:lang w:val="en-GB"/>
              </w:rPr>
              <w:t>; land use data; damage function</w:t>
            </w:r>
            <w:r w:rsidR="00C0376C">
              <w:rPr>
                <w:rStyle w:val="Heading1Char"/>
                <w:rFonts w:ascii="Palatino Linotype" w:hAnsi="Palatino Linotype"/>
                <w:b w:val="0"/>
                <w:color w:val="auto"/>
                <w:sz w:val="22"/>
                <w:szCs w:val="22"/>
                <w:lang w:val="en-GB"/>
              </w:rPr>
              <w:t>; social economic and environmental variables.</w:t>
            </w:r>
          </w:p>
        </w:tc>
      </w:tr>
      <w:tr w:rsidR="00E302BE" w:rsidRPr="00AE5697" w:rsidTr="00AE5697">
        <w:trPr>
          <w:trHeight w:val="721"/>
        </w:trPr>
        <w:tc>
          <w:tcPr>
            <w:tcW w:w="1809" w:type="dxa"/>
          </w:tcPr>
          <w:p w:rsidR="00E302BE" w:rsidRPr="00AE5697" w:rsidRDefault="00AD09BD" w:rsidP="00AD09BD">
            <w:pPr>
              <w:spacing w:before="80" w:after="80" w:line="276" w:lineRule="auto"/>
              <w:rPr>
                <w:rStyle w:val="Heading1Char"/>
                <w:rFonts w:ascii="Palatino Linotype" w:hAnsi="Palatino Linotype"/>
                <w:i/>
                <w:color w:val="auto"/>
                <w:sz w:val="22"/>
                <w:szCs w:val="22"/>
                <w:lang w:val="en-GB"/>
              </w:rPr>
            </w:pPr>
            <w:r w:rsidRPr="00AE5697">
              <w:rPr>
                <w:rStyle w:val="Heading1Char"/>
                <w:rFonts w:ascii="Palatino Linotype" w:hAnsi="Palatino Linotype"/>
                <w:i/>
                <w:color w:val="auto"/>
                <w:sz w:val="22"/>
                <w:szCs w:val="22"/>
                <w:lang w:val="en-GB"/>
              </w:rPr>
              <w:t>Comments</w:t>
            </w:r>
          </w:p>
        </w:tc>
        <w:tc>
          <w:tcPr>
            <w:tcW w:w="7938" w:type="dxa"/>
          </w:tcPr>
          <w:p w:rsidR="00E302BE" w:rsidRPr="00AE5697" w:rsidRDefault="00E302BE" w:rsidP="00AB670E">
            <w:pPr>
              <w:spacing w:before="80" w:after="80" w:line="276" w:lineRule="auto"/>
              <w:jc w:val="both"/>
              <w:rPr>
                <w:rStyle w:val="Heading1Char"/>
                <w:rFonts w:ascii="Palatino Linotype" w:hAnsi="Palatino Linotype"/>
                <w:b w:val="0"/>
                <w:color w:val="auto"/>
                <w:sz w:val="22"/>
                <w:szCs w:val="22"/>
                <w:lang w:val="en-GB"/>
              </w:rPr>
            </w:pPr>
          </w:p>
        </w:tc>
      </w:tr>
    </w:tbl>
    <w:p w:rsidR="00475825" w:rsidRPr="00AE5697" w:rsidRDefault="00475825" w:rsidP="00C6686B">
      <w:pPr>
        <w:rPr>
          <w:rStyle w:val="Heading2Char"/>
          <w:color w:val="auto"/>
          <w:sz w:val="22"/>
          <w:szCs w:val="22"/>
          <w:lang w:val="en-GB"/>
        </w:rPr>
      </w:pPr>
    </w:p>
    <w:sectPr w:rsidR="00475825" w:rsidRPr="00AE5697" w:rsidSect="00F430B9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9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2872"/>
    <w:rsid w:val="000110FB"/>
    <w:rsid w:val="0003398C"/>
    <w:rsid w:val="00045A91"/>
    <w:rsid w:val="000602E5"/>
    <w:rsid w:val="000D0DE0"/>
    <w:rsid w:val="001F1FC6"/>
    <w:rsid w:val="002619E0"/>
    <w:rsid w:val="002B3DA2"/>
    <w:rsid w:val="002D50EE"/>
    <w:rsid w:val="002E01DD"/>
    <w:rsid w:val="00310F08"/>
    <w:rsid w:val="00475825"/>
    <w:rsid w:val="00476459"/>
    <w:rsid w:val="004D5D13"/>
    <w:rsid w:val="005E2677"/>
    <w:rsid w:val="006265A9"/>
    <w:rsid w:val="006A5C6E"/>
    <w:rsid w:val="00771CDF"/>
    <w:rsid w:val="007B373A"/>
    <w:rsid w:val="00803ABE"/>
    <w:rsid w:val="00862872"/>
    <w:rsid w:val="0086771A"/>
    <w:rsid w:val="008748BE"/>
    <w:rsid w:val="00A47827"/>
    <w:rsid w:val="00AB670E"/>
    <w:rsid w:val="00AD09BD"/>
    <w:rsid w:val="00AE5697"/>
    <w:rsid w:val="00B925E9"/>
    <w:rsid w:val="00C0376C"/>
    <w:rsid w:val="00C34433"/>
    <w:rsid w:val="00C6686B"/>
    <w:rsid w:val="00DA53F8"/>
    <w:rsid w:val="00E302BE"/>
    <w:rsid w:val="00E934AB"/>
    <w:rsid w:val="00F430B9"/>
    <w:rsid w:val="00FD10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9"/>
    <w:qFormat/>
    <w:rsid w:val="0086287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6287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86287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86287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table" w:styleId="TableGrid">
    <w:name w:val="Table Grid"/>
    <w:basedOn w:val="TableNormal"/>
    <w:uiPriority w:val="59"/>
    <w:rsid w:val="0047582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-Accent1">
    <w:name w:val="Light Shading Accent 1"/>
    <w:basedOn w:val="TableNormal"/>
    <w:uiPriority w:val="60"/>
    <w:rsid w:val="00475825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character" w:styleId="CommentReference">
    <w:name w:val="annotation reference"/>
    <w:basedOn w:val="DefaultParagraphFont"/>
    <w:uiPriority w:val="99"/>
    <w:semiHidden/>
    <w:unhideWhenUsed/>
    <w:rsid w:val="00AD09B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D09B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D09B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D09B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D09BD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D09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D09BD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AB670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9"/>
    <w:qFormat/>
    <w:rsid w:val="0086287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6287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86287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86287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table" w:styleId="TableGrid">
    <w:name w:val="Table Grid"/>
    <w:basedOn w:val="TableNormal"/>
    <w:uiPriority w:val="59"/>
    <w:rsid w:val="0047582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-Accent1">
    <w:name w:val="Light Shading Accent 1"/>
    <w:basedOn w:val="TableNormal"/>
    <w:uiPriority w:val="60"/>
    <w:rsid w:val="00475825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character" w:styleId="CommentReference">
    <w:name w:val="annotation reference"/>
    <w:basedOn w:val="DefaultParagraphFont"/>
    <w:uiPriority w:val="99"/>
    <w:semiHidden/>
    <w:unhideWhenUsed/>
    <w:rsid w:val="00AD09B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D09B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D09B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D09B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D09BD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D09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D09BD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AB670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C0F56E-5DBD-4187-AACB-960E224C57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277</Words>
  <Characters>1581</Characters>
  <Application>Microsoft Office Word</Application>
  <DocSecurity>0</DocSecurity>
  <Lines>13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Fabio Farinosi</dc:creator>
  <cp:lastModifiedBy>Fabio Farinosi</cp:lastModifiedBy>
  <cp:revision>6</cp:revision>
  <dcterms:created xsi:type="dcterms:W3CDTF">2013-06-25T16:36:00Z</dcterms:created>
  <dcterms:modified xsi:type="dcterms:W3CDTF">2013-07-25T14:31:00Z</dcterms:modified>
</cp:coreProperties>
</file>